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2"/>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766445</wp:posOffset>
            </wp:positionH>
            <wp:positionV relativeFrom="page">
              <wp:posOffset>154940</wp:posOffset>
            </wp:positionV>
            <wp:extent cx="60159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7620"/>
                    </a:xfrm>
                    <a:prstGeom prst="rect">
                      <a:avLst/>
                    </a:prstGeom>
                    <a:noFill/>
                  </pic:spPr>
                </pic:pic>
              </a:graphicData>
            </a:graphic>
          </wp:anchor>
        </w:drawing>
        <w:drawing>
          <wp:anchor simplePos="0" relativeHeight="251657728" behindDoc="1" locked="0" layoutInCell="0" allowOverlap="1">
            <wp:simplePos x="0" y="0"/>
            <wp:positionH relativeFrom="page">
              <wp:posOffset>766445</wp:posOffset>
            </wp:positionH>
            <wp:positionV relativeFrom="page">
              <wp:posOffset>192405</wp:posOffset>
            </wp:positionV>
            <wp:extent cx="60159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7620"/>
                    </a:xfrm>
                    <a:prstGeom prst="rect">
                      <a:avLst/>
                    </a:prstGeom>
                    <a:noFill/>
                  </pic:spPr>
                </pic:pic>
              </a:graphicData>
            </a:graphic>
          </wp:anchor>
        </w:drawing>
        <w:t>UNITED STATES</w:t>
      </w:r>
    </w:p>
    <w:p>
      <w:pPr>
        <w:spacing w:after="0" w:line="21"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12"/>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254000</wp:posOffset>
            </wp:positionV>
            <wp:extent cx="12680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28"/>
          <w:szCs w:val="28"/>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278130</wp:posOffset>
            </wp:positionV>
            <wp:extent cx="12680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73" w:hanging="373"/>
        <w:spacing w:after="0"/>
        <w:tabs>
          <w:tab w:leader="none" w:pos="373"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ANNUAL REPORT PURSUANT TO SECTION 15(d) OF THE SECURITIES EXCHANGE ACT OF 1934</w:t>
      </w:r>
    </w:p>
    <w:p>
      <w:pPr>
        <w:spacing w:after="0" w:line="289"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292"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18" w:lineRule="exact"/>
        <w:rPr>
          <w:sz w:val="24"/>
          <w:szCs w:val="24"/>
          <w:color w:val="auto"/>
        </w:rPr>
      </w:pPr>
    </w:p>
    <w:p>
      <w:pPr>
        <w:ind w:left="373" w:hanging="373"/>
        <w:spacing w:after="0"/>
        <w:tabs>
          <w:tab w:leader="none" w:pos="37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301" w:lineRule="exact"/>
        <w:rPr>
          <w:sz w:val="24"/>
          <w:szCs w:val="24"/>
          <w:color w:val="auto"/>
        </w:rPr>
      </w:pPr>
    </w:p>
    <w:p>
      <w:pPr>
        <w:jc w:val="center"/>
        <w:ind w:right="-72"/>
        <w:spacing w:after="0"/>
        <w:tabs>
          <w:tab w:leader="none" w:pos="140" w:val="left"/>
        </w:tabs>
        <w:rPr>
          <w:sz w:val="20"/>
          <w:szCs w:val="20"/>
          <w:color w:val="auto"/>
        </w:rPr>
      </w:pPr>
      <w:r>
        <w:rPr>
          <w:rFonts w:ascii="Times New Roman" w:cs="Times New Roman" w:eastAsia="Times New Roman" w:hAnsi="Times New Roman"/>
          <w:sz w:val="15"/>
          <w:szCs w:val="15"/>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3098800</wp:posOffset>
            </wp:positionH>
            <wp:positionV relativeFrom="paragraph">
              <wp:posOffset>-1270</wp:posOffset>
            </wp:positionV>
            <wp:extent cx="11137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3790" cy="7620"/>
                    </a:xfrm>
                    <a:prstGeom prst="rect">
                      <a:avLst/>
                    </a:prstGeom>
                    <a:noFill/>
                  </pic:spPr>
                </pic:pic>
              </a:graphicData>
            </a:graphic>
          </wp:anchor>
        </w:drawing>
      </w:r>
    </w:p>
    <w:p>
      <w:pPr>
        <w:spacing w:after="0" w:line="272"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Commission file number 001-16109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278130</wp:posOffset>
            </wp:positionV>
            <wp:extent cx="12680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37"/>
          <w:szCs w:val="37"/>
          <w:b w:val="1"/>
          <w:bCs w:val="1"/>
          <w:color w:val="auto"/>
        </w:rPr>
        <w:t>CoreCivic 401(k) Plan</w:t>
      </w:r>
    </w:p>
    <w:p>
      <w:pPr>
        <w:spacing w:after="0" w:line="50"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206375</wp:posOffset>
            </wp:positionV>
            <wp:extent cx="12680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CORECIVIC, INC.</w:t>
      </w:r>
    </w:p>
    <w:p>
      <w:pPr>
        <w:spacing w:after="0" w:line="26"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2"/>
          <w:szCs w:val="12"/>
          <w:b w:val="1"/>
          <w:bCs w:val="1"/>
          <w:color w:val="auto"/>
        </w:rPr>
        <w:t>(Name of the issuer of the securities held pursuant to the Plan)</w:t>
      </w:r>
    </w:p>
    <w:p>
      <w:pPr>
        <w:spacing w:after="0" w:line="256"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5"/>
          <w:szCs w:val="15"/>
          <w:b w:val="1"/>
          <w:bCs w:val="1"/>
          <w:color w:val="auto"/>
        </w:rPr>
        <w:t>5501 Virginia Way, Brentwood TN 37027</w:t>
      </w:r>
    </w:p>
    <w:p>
      <w:pPr>
        <w:spacing w:after="0" w:line="26" w:lineRule="exact"/>
        <w:rPr>
          <w:sz w:val="24"/>
          <w:szCs w:val="24"/>
          <w:color w:val="auto"/>
        </w:rPr>
      </w:pPr>
    </w:p>
    <w:p>
      <w:pPr>
        <w:jc w:val="center"/>
        <w:ind w:right="-212"/>
        <w:spacing w:after="0"/>
        <w:rPr>
          <w:sz w:val="20"/>
          <w:szCs w:val="20"/>
          <w:color w:val="auto"/>
        </w:rPr>
      </w:pPr>
      <w:r>
        <w:rPr>
          <w:rFonts w:ascii="Times New Roman" w:cs="Times New Roman" w:eastAsia="Times New Roman" w:hAnsi="Times New Roman"/>
          <w:sz w:val="12"/>
          <w:szCs w:val="12"/>
          <w:b w:val="1"/>
          <w:bCs w:val="1"/>
          <w:color w:val="auto"/>
        </w:rPr>
        <w:t>(Address and zip code of principal executive offices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0159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59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60159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15990" cy="7620"/>
                    </a:xfrm>
                    <a:prstGeom prst="rect">
                      <a:avLst/>
                    </a:prstGeom>
                    <a:noFill/>
                  </pic:spPr>
                </pic:pic>
              </a:graphicData>
            </a:graphic>
          </wp:anchor>
        </w:drawing>
      </w:r>
    </w:p>
    <w:p>
      <w:pPr>
        <w:sectPr>
          <w:pgSz w:w="11900" w:h="16838" w:orient="portrait"/>
          <w:cols w:equalWidth="0" w:num="1">
            <w:col w:w="9273"/>
          </w:cols>
          <w:pgMar w:left="1207" w:top="343" w:right="14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CORECIVIC 401(k) PLAN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AND SUPPLEMENTAL SCHEDULES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DECEMBER 31, 2025</w:t>
      </w:r>
    </w:p>
    <w:p>
      <w:pPr>
        <w:sectPr>
          <w:pgSz w:w="11900" w:h="16838" w:orient="portrait"/>
          <w:cols w:equalWidth="0" w:num="1">
            <w:col w:w="9019"/>
          </w:cols>
          <w:pgMar w:left="1440" w:top="272"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40" w:type="dxa"/>
            <w:vAlign w:val="bottom"/>
            <w:gridSpan w:val="10"/>
            <w:vMerge w:val="restart"/>
          </w:tcPr>
          <w:p>
            <w:pPr>
              <w:spacing w:after="0"/>
              <w:rPr>
                <w:sz w:val="20"/>
                <w:szCs w:val="20"/>
                <w:color w:val="auto"/>
              </w:rPr>
            </w:pPr>
            <w:r>
              <w:rPr>
                <w:rFonts w:ascii="Times New Roman" w:cs="Times New Roman" w:eastAsia="Times New Roman" w:hAnsi="Times New Roman"/>
                <w:sz w:val="15"/>
                <w:szCs w:val="15"/>
                <w:b w:val="1"/>
                <w:bCs w:val="1"/>
                <w:color w:val="0000EE"/>
              </w:rPr>
              <w:t>REPORT OF INDEPENDENT REGISTERED PUBLIC ACCOUNTING FIRM</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6"/>
        </w:trPr>
        <w:tc>
          <w:tcPr>
            <w:tcW w:w="7240" w:type="dxa"/>
            <w:vAlign w:val="bottom"/>
            <w:gridSpan w:val="10"/>
            <w:vMerge w:val="continue"/>
          </w:tcPr>
          <w:p>
            <w:pPr>
              <w:spacing w:after="0"/>
              <w:rPr>
                <w:sz w:val="14"/>
                <w:szCs w:val="14"/>
                <w:color w:val="auto"/>
              </w:rPr>
            </w:pP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66"/>
        </w:trPr>
        <w:tc>
          <w:tcPr>
            <w:tcW w:w="1960" w:type="dxa"/>
            <w:vAlign w:val="bottom"/>
            <w:tcBorders>
              <w:top w:val="single" w:sz="8" w:color="0000EE"/>
              <w:bottom w:val="single" w:sz="8" w:color="0000EE"/>
            </w:tcBorders>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0000EE"/>
              </w:rPr>
              <w:t>FINANCIAL STATEMENTS</w:t>
            </w:r>
          </w:p>
        </w:tc>
        <w:tc>
          <w:tcPr>
            <w:tcW w:w="3340" w:type="dxa"/>
            <w:vAlign w:val="bottom"/>
            <w:tcBorders>
              <w:top w:val="single" w:sz="8" w:color="0000EE"/>
            </w:tcBorders>
            <w:gridSpan w:val="7"/>
          </w:tcPr>
          <w:p>
            <w:pPr>
              <w:spacing w:after="0"/>
              <w:rPr>
                <w:sz w:val="14"/>
                <w:szCs w:val="14"/>
                <w:color w:val="auto"/>
              </w:rPr>
            </w:pPr>
          </w:p>
        </w:tc>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960" w:type="dxa"/>
            <w:vAlign w:val="bottom"/>
            <w:tcBorders>
              <w:bottom w:val="single" w:sz="8" w:color="0000EE"/>
            </w:tcBorders>
            <w:gridSpan w:val="4"/>
          </w:tcPr>
          <w:p>
            <w:pPr>
              <w:spacing w:after="0" w:line="166" w:lineRule="exact"/>
              <w:rPr>
                <w:sz w:val="20"/>
                <w:szCs w:val="20"/>
                <w:color w:val="auto"/>
              </w:rPr>
            </w:pPr>
            <w:r>
              <w:rPr>
                <w:rFonts w:ascii="Times New Roman" w:cs="Times New Roman" w:eastAsia="Times New Roman" w:hAnsi="Times New Roman"/>
                <w:sz w:val="15"/>
                <w:szCs w:val="15"/>
                <w:color w:val="0000EE"/>
              </w:rPr>
              <w:t>Statements of Net Assets Available for Benefits</w:t>
            </w:r>
          </w:p>
        </w:tc>
        <w:tc>
          <w:tcPr>
            <w:tcW w:w="3960" w:type="dxa"/>
            <w:vAlign w:val="bottom"/>
            <w:gridSpan w:val="5"/>
          </w:tcPr>
          <w:p>
            <w:pPr>
              <w:spacing w:after="0"/>
              <w:rPr>
                <w:sz w:val="14"/>
                <w:szCs w:val="14"/>
                <w:color w:val="auto"/>
              </w:rPr>
            </w:pP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6920" w:type="dxa"/>
            <w:vAlign w:val="bottom"/>
            <w:gridSpan w:val="9"/>
          </w:tcPr>
          <w:p>
            <w:pPr>
              <w:spacing w:after="0" w:line="166" w:lineRule="exact"/>
              <w:rPr>
                <w:sz w:val="20"/>
                <w:szCs w:val="20"/>
                <w:color w:val="auto"/>
              </w:rPr>
            </w:pPr>
            <w:r>
              <w:rPr>
                <w:rFonts w:ascii="Times New Roman" w:cs="Times New Roman" w:eastAsia="Times New Roman" w:hAnsi="Times New Roman"/>
                <w:sz w:val="15"/>
                <w:szCs w:val="15"/>
                <w:color w:val="0000EE"/>
              </w:rPr>
              <w:t>Statement of Changes in Net Assets Available for Benefits</w:t>
            </w: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80" w:type="dxa"/>
            <w:vAlign w:val="bottom"/>
            <w:tcBorders>
              <w:bottom w:val="single" w:sz="8" w:color="0000EE"/>
            </w:tcBorders>
            <w:gridSpan w:val="4"/>
          </w:tcPr>
          <w:p>
            <w:pPr>
              <w:spacing w:after="0" w:line="166" w:lineRule="exact"/>
              <w:rPr>
                <w:sz w:val="20"/>
                <w:szCs w:val="20"/>
                <w:color w:val="auto"/>
              </w:rPr>
            </w:pPr>
            <w:r>
              <w:rPr>
                <w:rFonts w:ascii="Times New Roman" w:cs="Times New Roman" w:eastAsia="Times New Roman" w:hAnsi="Times New Roman"/>
                <w:sz w:val="15"/>
                <w:szCs w:val="15"/>
                <w:b w:val="1"/>
                <w:bCs w:val="1"/>
                <w:color w:val="0000EE"/>
              </w:rPr>
              <w:t>NOTES TO FINANCIAL STATEMENTS</w:t>
            </w:r>
          </w:p>
        </w:tc>
        <w:tc>
          <w:tcPr>
            <w:tcW w:w="4460" w:type="dxa"/>
            <w:vAlign w:val="bottom"/>
            <w:gridSpan w:val="6"/>
          </w:tcPr>
          <w:p>
            <w:pPr>
              <w:spacing w:after="0"/>
              <w:rPr>
                <w:sz w:val="14"/>
                <w:szCs w:val="14"/>
                <w:color w:val="auto"/>
              </w:rPr>
            </w:pP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66"/>
        </w:trPr>
        <w:tc>
          <w:tcPr>
            <w:tcW w:w="7240" w:type="dxa"/>
            <w:vAlign w:val="bottom"/>
            <w:gridSpan w:val="10"/>
          </w:tcPr>
          <w:p>
            <w:pPr>
              <w:spacing w:after="0" w:line="166" w:lineRule="exact"/>
              <w:rPr>
                <w:sz w:val="20"/>
                <w:szCs w:val="20"/>
                <w:color w:val="auto"/>
              </w:rPr>
            </w:pPr>
            <w:r>
              <w:rPr>
                <w:rFonts w:ascii="Times New Roman" w:cs="Times New Roman" w:eastAsia="Times New Roman" w:hAnsi="Times New Roman"/>
                <w:sz w:val="15"/>
                <w:szCs w:val="15"/>
                <w:b w:val="1"/>
                <w:bCs w:val="1"/>
                <w:color w:val="0000EE"/>
              </w:rPr>
              <w:t>SUPPLEMENTAL SCHEDULES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0" w:type="dxa"/>
            <w:vAlign w:val="bottom"/>
          </w:tcPr>
          <w:p>
            <w:pPr>
              <w:spacing w:after="0"/>
              <w:rPr>
                <w:sz w:val="14"/>
                <w:szCs w:val="14"/>
                <w:color w:val="auto"/>
              </w:rPr>
            </w:pPr>
          </w:p>
        </w:tc>
        <w:tc>
          <w:tcPr>
            <w:tcW w:w="4560" w:type="dxa"/>
            <w:vAlign w:val="bottom"/>
            <w:tcBorders>
              <w:bottom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5"/>
                <w:szCs w:val="15"/>
                <w:color w:val="0000EE"/>
              </w:rPr>
              <w:t>Schedule H, Line 4(a) - Schedule of Delinquent Participant Contributions</w:t>
            </w:r>
          </w:p>
        </w:tc>
        <w:tc>
          <w:tcPr>
            <w:tcW w:w="2360" w:type="dxa"/>
            <w:vAlign w:val="bottom"/>
            <w:gridSpan w:val="2"/>
          </w:tcPr>
          <w:p>
            <w:pPr>
              <w:spacing w:after="0"/>
              <w:rPr>
                <w:sz w:val="14"/>
                <w:szCs w:val="14"/>
                <w:color w:val="auto"/>
              </w:rPr>
            </w:pP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6920" w:type="dxa"/>
            <w:vAlign w:val="bottom"/>
            <w:gridSpan w:val="9"/>
          </w:tcPr>
          <w:p>
            <w:pPr>
              <w:spacing w:after="0" w:line="166" w:lineRule="exact"/>
              <w:rPr>
                <w:sz w:val="20"/>
                <w:szCs w:val="20"/>
                <w:color w:val="auto"/>
              </w:rPr>
            </w:pPr>
            <w:r>
              <w:rPr>
                <w:rFonts w:ascii="Times New Roman" w:cs="Times New Roman" w:eastAsia="Times New Roman" w:hAnsi="Times New Roman"/>
                <w:sz w:val="15"/>
                <w:szCs w:val="15"/>
                <w:color w:val="0000EE"/>
              </w:rPr>
              <w:t>Schedule H, Line 4(i) - Schedule of Assets (Held at Year End)</w:t>
            </w:r>
          </w:p>
        </w:tc>
        <w:tc>
          <w:tcPr>
            <w:tcW w:w="22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40"/>
          </w:cols>
          <w:pgMar w:left="1200" w:top="272"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i w:val="1"/>
          <w:iCs w:val="1"/>
          <w:color w:val="auto"/>
        </w:rPr>
        <w:t>Report of Independent Registered Public Accounting Firm</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The Administrative Committee, the Administrator and the Participants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CoreCivic 401(k) Plan</w:t>
      </w:r>
    </w:p>
    <w:p>
      <w:pPr>
        <w:spacing w:after="0" w:line="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Nashville, Tennessee</w:t>
      </w:r>
    </w:p>
    <w:p>
      <w:pPr>
        <w:spacing w:after="0" w:line="2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10" w:lineRule="exact"/>
        <w:rPr>
          <w:sz w:val="20"/>
          <w:szCs w:val="20"/>
          <w:color w:val="auto"/>
        </w:rPr>
      </w:pPr>
    </w:p>
    <w:p>
      <w:pPr>
        <w:ind w:left="880" w:right="80"/>
        <w:spacing w:after="0" w:line="268" w:lineRule="auto"/>
        <w:rPr>
          <w:sz w:val="20"/>
          <w:szCs w:val="20"/>
          <w:color w:val="auto"/>
        </w:rPr>
      </w:pPr>
      <w:r>
        <w:rPr>
          <w:rFonts w:ascii="Times New Roman" w:cs="Times New Roman" w:eastAsia="Times New Roman" w:hAnsi="Times New Roman"/>
          <w:sz w:val="15"/>
          <w:szCs w:val="15"/>
          <w:color w:val="auto"/>
        </w:rPr>
        <w:t>We have audited the accompanying statements of net assets available for benefits of the CoreCivic 401(k)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0" w:lineRule="exact"/>
        <w:rPr>
          <w:sz w:val="20"/>
          <w:szCs w:val="20"/>
          <w:color w:val="auto"/>
        </w:rPr>
      </w:pPr>
    </w:p>
    <w:p>
      <w:pPr>
        <w:ind w:left="880"/>
        <w:spacing w:after="0" w:line="27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50" w:lineRule="exact"/>
        <w:rPr>
          <w:sz w:val="20"/>
          <w:szCs w:val="20"/>
          <w:color w:val="auto"/>
        </w:rPr>
      </w:pPr>
    </w:p>
    <w:p>
      <w:pPr>
        <w:ind w:left="880" w:right="80"/>
        <w:spacing w:after="0" w:line="26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52" w:lineRule="exact"/>
        <w:rPr>
          <w:sz w:val="20"/>
          <w:szCs w:val="20"/>
          <w:color w:val="auto"/>
        </w:rPr>
      </w:pPr>
    </w:p>
    <w:p>
      <w:pPr>
        <w:ind w:left="880" w:right="20"/>
        <w:spacing w:after="0" w:line="27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360"/>
          </w:cols>
          <w:pgMar w:left="320" w:top="434" w:right="1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Opinion on the Supplemental Information</w:t>
      </w:r>
    </w:p>
    <w:p>
      <w:pPr>
        <w:spacing w:after="0" w:line="110" w:lineRule="exact"/>
        <w:rPr>
          <w:sz w:val="20"/>
          <w:szCs w:val="20"/>
          <w:color w:val="auto"/>
        </w:rPr>
      </w:pPr>
    </w:p>
    <w:p>
      <w:pPr>
        <w:ind w:left="880"/>
        <w:spacing w:after="0" w:line="263" w:lineRule="auto"/>
        <w:rPr>
          <w:sz w:val="20"/>
          <w:szCs w:val="20"/>
          <w:color w:val="auto"/>
        </w:rPr>
      </w:pPr>
      <w:r>
        <w:rPr>
          <w:rFonts w:ascii="Times New Roman" w:cs="Times New Roman" w:eastAsia="Times New Roman" w:hAnsi="Times New Roman"/>
          <w:sz w:val="15"/>
          <w:szCs w:val="15"/>
          <w:color w:val="auto"/>
        </w:rPr>
        <w:t>The supplemental information included in Schedule H, Line 4(a) – Schedule of Delinquent Participant Contributions for the year ended December 31, 2025 and Schedule H, Line 4(i) – Schedule of Assets (Held at End of Year) as of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/s/ BAKER TILLY US, LLP</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Peachtree Corners, Georgia</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June 26, 2026</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We have served as the Plan’s auditor since 2013.</w:t>
      </w:r>
    </w:p>
    <w:p>
      <w:pPr>
        <w:spacing w:after="0" w:line="1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320"/>
          </w:cols>
          <w:pgMar w:left="320" w:top="434"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STATEMENTS OF NET ASSETS AVAILABLE FOR BENEFITS</w:t>
      </w:r>
    </w:p>
    <w:p>
      <w:pPr>
        <w:spacing w:after="0" w:line="1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0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9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52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2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489,270,774</w:t>
            </w:r>
          </w:p>
        </w:tc>
        <w:tc>
          <w:tcPr>
            <w:tcW w:w="1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436,396,339</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RECEIVABLES:</w:t>
            </w:r>
          </w:p>
        </w:tc>
        <w:tc>
          <w:tcPr>
            <w:tcW w:w="22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24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Employer contributions</w:t>
            </w:r>
          </w:p>
        </w:tc>
        <w:tc>
          <w:tcPr>
            <w:tcW w:w="3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669,441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887,454</w:t>
            </w:r>
          </w:p>
        </w:tc>
      </w:tr>
      <w:tr>
        <w:trPr>
          <w:trHeight w:val="186"/>
        </w:trPr>
        <w:tc>
          <w:tcPr>
            <w:tcW w:w="20" w:type="dxa"/>
            <w:vAlign w:val="bottom"/>
          </w:tcPr>
          <w:p>
            <w:pPr>
              <w:spacing w:after="0"/>
              <w:rPr>
                <w:sz w:val="16"/>
                <w:szCs w:val="16"/>
                <w:color w:val="auto"/>
              </w:rPr>
            </w:pPr>
          </w:p>
        </w:tc>
        <w:tc>
          <w:tcPr>
            <w:tcW w:w="5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Notes receivable from participants</w:t>
            </w:r>
          </w:p>
        </w:tc>
        <w:tc>
          <w:tcPr>
            <w:tcW w:w="3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17,794,804</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16,298,139</w:t>
            </w:r>
          </w:p>
        </w:tc>
      </w:tr>
      <w:tr>
        <w:trPr>
          <w:trHeight w:val="192"/>
        </w:trPr>
        <w:tc>
          <w:tcPr>
            <w:tcW w:w="20" w:type="dxa"/>
            <w:vAlign w:val="bottom"/>
          </w:tcPr>
          <w:p>
            <w:pPr>
              <w:spacing w:after="0"/>
              <w:rPr>
                <w:sz w:val="16"/>
                <w:szCs w:val="16"/>
                <w:color w:val="auto"/>
              </w:rPr>
            </w:pPr>
          </w:p>
        </w:tc>
        <w:tc>
          <w:tcPr>
            <w:tcW w:w="524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Total receivables</w:t>
            </w:r>
          </w:p>
        </w:tc>
        <w:tc>
          <w:tcPr>
            <w:tcW w:w="22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18,464,245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17,185,593</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 AVAILABLE FOR BENEFITS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507,735,019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453,581,932</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See accompanying notes to the financial statements.</w:t>
      </w:r>
    </w:p>
    <w:p>
      <w:pPr>
        <w:spacing w:after="0" w:line="1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360"/>
          </w:cols>
          <w:pgMar w:left="320" w:top="434" w:right="1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94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300" w:type="dxa"/>
            <w:vAlign w:val="bottom"/>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CORECIVIC 401(k) PLAN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jc w:val="center"/>
              <w:ind w:left="543"/>
              <w:spacing w:after="0"/>
              <w:rPr>
                <w:sz w:val="20"/>
                <w:szCs w:val="20"/>
                <w:color w:val="auto"/>
              </w:rPr>
            </w:pPr>
            <w:r>
              <w:rPr>
                <w:rFonts w:ascii="Times New Roman" w:cs="Times New Roman" w:eastAsia="Times New Roman" w:hAnsi="Times New Roman"/>
                <w:sz w:val="15"/>
                <w:szCs w:val="15"/>
                <w:b w:val="1"/>
                <w:bCs w:val="1"/>
                <w:color w:val="auto"/>
              </w:rPr>
              <w:t>STATEMENT OF CHANGES IN NET ASSETS AVAILABLE FOR BENEFITS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80" w:type="dxa"/>
            <w:vAlign w:val="bottom"/>
            <w:vMerge w:val="continue"/>
          </w:tcPr>
          <w:p>
            <w:pPr>
              <w:spacing w:after="0"/>
              <w:rPr>
                <w:sz w:val="16"/>
                <w:szCs w:val="16"/>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INVESTMENT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Dividends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13,992,696</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appreciation in fair value of investments</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45,857,678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Total investment income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59,850,374</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INTEREST INCOME ON NOTES RECEIVABLE FROM PARTICIPANTS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1,428,357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CONTRIBUTIONS: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Employer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21,982,557</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Participant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22,148,144</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Rollover</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3,234,584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Total contributions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47,365,285</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Total additions</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108,644,016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DEDUCTIONS: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Benefits paid to participants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53,590,409</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Administrative expenses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900,520</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Total deductions</w:t>
            </w: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54,490,929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Net increase in assets available for benefits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54,153,087</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ASSETS AVAILABLE FOR BENEFITS: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Beginning of year</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453,581,932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End of year</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507,735,019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5"/>
          <w:szCs w:val="15"/>
          <w:color w:val="auto"/>
        </w:rPr>
        <w:t>See accompanying notes to the financial statements.</w:t>
      </w:r>
    </w:p>
    <w:p>
      <w:pPr>
        <w:spacing w:after="0" w:line="1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360"/>
          </w:cols>
          <w:pgMar w:left="320" w:top="431"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A - DESCRIPTION OF THE PLAN</w:t>
      </w:r>
    </w:p>
    <w:p>
      <w:pPr>
        <w:spacing w:after="0" w:line="110" w:lineRule="exact"/>
        <w:rPr>
          <w:sz w:val="20"/>
          <w:szCs w:val="20"/>
          <w:color w:val="auto"/>
        </w:rPr>
      </w:pPr>
    </w:p>
    <w:p>
      <w:pPr>
        <w:ind w:left="880" w:right="160"/>
        <w:spacing w:after="0" w:line="296" w:lineRule="auto"/>
        <w:rPr>
          <w:sz w:val="20"/>
          <w:szCs w:val="20"/>
          <w:color w:val="auto"/>
        </w:rPr>
      </w:pPr>
      <w:r>
        <w:rPr>
          <w:rFonts w:ascii="Times New Roman" w:cs="Times New Roman" w:eastAsia="Times New Roman" w:hAnsi="Times New Roman"/>
          <w:sz w:val="15"/>
          <w:szCs w:val="15"/>
          <w:color w:val="auto"/>
        </w:rPr>
        <w:t>The following description of the CoreCivic 401(k) Plan (the “Plan” or “CoreCivic 401(k)”) is provided for general purposes only. Participants should refer to the Plan agreement for a more complete description of the Plan’s provisions.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Plan Sponsor</w:t>
      </w:r>
    </w:p>
    <w:p>
      <w:pPr>
        <w:spacing w:after="0" w:line="110" w:lineRule="exact"/>
        <w:rPr>
          <w:sz w:val="20"/>
          <w:szCs w:val="20"/>
          <w:color w:val="auto"/>
        </w:rPr>
      </w:pPr>
    </w:p>
    <w:p>
      <w:pPr>
        <w:ind w:left="880" w:right="20"/>
        <w:spacing w:after="0" w:line="277" w:lineRule="auto"/>
        <w:rPr>
          <w:sz w:val="20"/>
          <w:szCs w:val="20"/>
          <w:color w:val="auto"/>
        </w:rPr>
      </w:pPr>
      <w:r>
        <w:rPr>
          <w:rFonts w:ascii="Times New Roman" w:cs="Times New Roman" w:eastAsia="Times New Roman" w:hAnsi="Times New Roman"/>
          <w:sz w:val="15"/>
          <w:szCs w:val="15"/>
          <w:color w:val="auto"/>
        </w:rPr>
        <w:t>The Plan is a defined contribution plan that is sponsored by CoreCivic of Tennessee, LLC (“CoreCivic”) (“Employer”). The Plan is designed to comply with the rules and regulations of the Internal Revenue Code of 1986, as amended (the “Code”), and is subject to the provisions of the Employee Retirement Income Security Act of 1974, as amended (“ERISA”).</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Participating Employers</w:t>
      </w:r>
    </w:p>
    <w:p>
      <w:pPr>
        <w:spacing w:after="0" w:line="110" w:lineRule="exact"/>
        <w:rPr>
          <w:sz w:val="20"/>
          <w:szCs w:val="20"/>
          <w:color w:val="auto"/>
        </w:rPr>
      </w:pPr>
    </w:p>
    <w:p>
      <w:pPr>
        <w:ind w:left="880"/>
        <w:spacing w:after="0" w:line="266" w:lineRule="auto"/>
        <w:rPr>
          <w:sz w:val="20"/>
          <w:szCs w:val="20"/>
          <w:color w:val="auto"/>
        </w:rPr>
      </w:pPr>
      <w:r>
        <w:rPr>
          <w:rFonts w:ascii="Times New Roman" w:cs="Times New Roman" w:eastAsia="Times New Roman" w:hAnsi="Times New Roman"/>
          <w:sz w:val="15"/>
          <w:szCs w:val="15"/>
          <w:color w:val="auto"/>
        </w:rPr>
        <w:t>The Plan qualifies as a “multiple employer” plan as described in Section 413(c) of the Code. The Plan allows other affiliated employers to participate in the Plan (“Participating Employers”), as it deems appropriate. All Participating Employers must adopt the Plan as written, including but not limited to, using the same Trustee, incurring the same expense rate, and contributing at the same rates and same times. Participating Employers are: TransCor America, LLC; Correctional Medicine Associates, PC; Correctional Medicine Associates of Texas, PA; Correctional Medicine Associates of Colorado, PC; Correctional Medicine Associates of California, PC; CCA Health Services, LLC; Correctional Dental Associates, PC; Correctional Dental Associates of Colorado, PC; and, Stephen Merrill, DMD, PC.</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Eligibility</w:t>
      </w:r>
    </w:p>
    <w:p>
      <w:pPr>
        <w:spacing w:after="0" w:line="110" w:lineRule="exact"/>
        <w:rPr>
          <w:sz w:val="20"/>
          <w:szCs w:val="20"/>
          <w:color w:val="auto"/>
        </w:rPr>
      </w:pPr>
    </w:p>
    <w:p>
      <w:pPr>
        <w:ind w:left="880" w:right="20"/>
        <w:spacing w:after="0" w:line="271" w:lineRule="auto"/>
        <w:rPr>
          <w:sz w:val="20"/>
          <w:szCs w:val="20"/>
          <w:color w:val="auto"/>
        </w:rPr>
      </w:pPr>
      <w:r>
        <w:rPr>
          <w:rFonts w:ascii="Times New Roman" w:cs="Times New Roman" w:eastAsia="Times New Roman" w:hAnsi="Times New Roman"/>
          <w:sz w:val="15"/>
          <w:szCs w:val="15"/>
          <w:color w:val="auto"/>
        </w:rPr>
        <w:t>For the 2024 plan year, substantially all employees of CoreCivic and Participating Employers who were at least 18 years of age and had completed six months of service and 500 hours of service, as defined by the Plan, were eligible for participation in the Plan on the quarterly entry date (January 1, April 1, July 1, or October 1) following the date they meet these eligibility requirements. Beginning with the 2025 plan year, eligibility for participation was amended to exclude the 500 hours of service requirement.</w:t>
      </w:r>
    </w:p>
    <w:p>
      <w:pPr>
        <w:spacing w:after="0" w:line="150" w:lineRule="exact"/>
        <w:rPr>
          <w:sz w:val="20"/>
          <w:szCs w:val="20"/>
          <w:color w:val="auto"/>
        </w:rPr>
      </w:pPr>
    </w:p>
    <w:p>
      <w:pPr>
        <w:ind w:left="880" w:right="280"/>
        <w:spacing w:after="0" w:line="296" w:lineRule="auto"/>
        <w:rPr>
          <w:sz w:val="20"/>
          <w:szCs w:val="20"/>
          <w:color w:val="auto"/>
        </w:rPr>
      </w:pPr>
      <w:r>
        <w:rPr>
          <w:rFonts w:ascii="Times New Roman" w:cs="Times New Roman" w:eastAsia="Times New Roman" w:hAnsi="Times New Roman"/>
          <w:sz w:val="15"/>
          <w:szCs w:val="15"/>
          <w:color w:val="auto"/>
        </w:rPr>
        <w:t>Effective April 1, 2026, the Plan amended the entry dates for eligible employees, changing quarterly entry dates for elective deferrals and matching contributions to participation in the Plan on the first day of the month following the date they meet the eligibility requirements.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Contributions</w:t>
      </w:r>
    </w:p>
    <w:p>
      <w:pPr>
        <w:spacing w:after="0" w:line="110" w:lineRule="exact"/>
        <w:rPr>
          <w:sz w:val="20"/>
          <w:szCs w:val="20"/>
          <w:color w:val="auto"/>
        </w:rPr>
      </w:pPr>
    </w:p>
    <w:p>
      <w:pPr>
        <w:ind w:left="880" w:right="80"/>
        <w:spacing w:after="0" w:line="269" w:lineRule="auto"/>
        <w:rPr>
          <w:sz w:val="20"/>
          <w:szCs w:val="20"/>
          <w:color w:val="auto"/>
        </w:rPr>
      </w:pPr>
      <w:r>
        <w:rPr>
          <w:rFonts w:ascii="Times New Roman" w:cs="Times New Roman" w:eastAsia="Times New Roman" w:hAnsi="Times New Roman"/>
          <w:sz w:val="15"/>
          <w:szCs w:val="15"/>
          <w:color w:val="auto"/>
        </w:rPr>
        <w:t>The Plan allows eligible employees to contribute up to 90% of their pre-tax compensation, as defined by the Plan. The Plan also allows eligible participants to make Catch Up Contributions. Participants may also contribute amounts representing rollover distributions from other qualified defined benefit or defined contribution plans. Effective January 1, 2025, the Plan allows a Roth feature for voluntary employee contributions. Employees can elect to make voluntary contributions as all Roth, all pre-tax, or a combination of both, up to the applicable Internal Revenue Service (“IRS”) annual limits.</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300"/>
          </w:cols>
          <w:pgMar w:left="320" w:top="434" w:right="1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7" w:lineRule="exact"/>
        <w:rPr>
          <w:sz w:val="20"/>
          <w:szCs w:val="20"/>
          <w:color w:val="auto"/>
        </w:rPr>
      </w:pPr>
    </w:p>
    <w:p>
      <w:pPr>
        <w:ind w:left="880"/>
        <w:spacing w:after="0" w:line="271" w:lineRule="auto"/>
        <w:rPr>
          <w:sz w:val="20"/>
          <w:szCs w:val="20"/>
          <w:color w:val="auto"/>
        </w:rPr>
      </w:pPr>
      <w:r>
        <w:rPr>
          <w:rFonts w:ascii="Times New Roman" w:cs="Times New Roman" w:eastAsia="Times New Roman" w:hAnsi="Times New Roman"/>
          <w:sz w:val="15"/>
          <w:szCs w:val="15"/>
          <w:color w:val="auto"/>
        </w:rPr>
        <w:t>CoreCivic provided a Safe Harbor matching contribution equal to 100% of each employee’s eligible bi-weekly compensation, up to 5% of the employee’s eligible bi-weekly compensation. The Plan indicates CoreCivic may provide discretionary employer contributions in addition to the Safe Harbor matching contributions. CoreCivic did not provide such discretionary contributions during 2025. CoreCivic did provide a non-elective fringe contribution to certain employees at “Service Contract Act” (“SCA”) locations in 2025. Those non-elective contributions are 100% vested immediately.</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Company and participant contributions may not exceed the maximum amount deductible for federal income tax purposes.</w:t>
      </w:r>
    </w:p>
    <w:p>
      <w:pPr>
        <w:spacing w:after="0" w:line="2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Participant Accounts</w:t>
      </w:r>
    </w:p>
    <w:p>
      <w:pPr>
        <w:spacing w:after="0" w:line="110" w:lineRule="exact"/>
        <w:rPr>
          <w:sz w:val="20"/>
          <w:szCs w:val="20"/>
          <w:color w:val="auto"/>
        </w:rPr>
      </w:pPr>
    </w:p>
    <w:p>
      <w:pPr>
        <w:ind w:left="880" w:right="120"/>
        <w:spacing w:after="0" w:line="271" w:lineRule="auto"/>
        <w:rPr>
          <w:sz w:val="20"/>
          <w:szCs w:val="20"/>
          <w:color w:val="auto"/>
        </w:rPr>
      </w:pPr>
      <w:r>
        <w:rPr>
          <w:rFonts w:ascii="Times New Roman" w:cs="Times New Roman" w:eastAsia="Times New Roman" w:hAnsi="Times New Roman"/>
          <w:sz w:val="15"/>
          <w:szCs w:val="15"/>
          <w:color w:val="auto"/>
        </w:rPr>
        <w:t>Each participant’s account is credited with the participant’s contributions and allocations of (a) the Company’s contributions and (b) Plan earnings (losses), and charged with an allocation of administrative expenses. Allocations are based on participant earnings, deferrals, account balances, or specific participant transactions as defined in the Plan document. The benefit to which a participant is entitled is the benefit that can be provided from the participant’s vested account.</w:t>
      </w:r>
    </w:p>
    <w:p>
      <w:pPr>
        <w:spacing w:after="0" w:line="150" w:lineRule="exact"/>
        <w:rPr>
          <w:sz w:val="20"/>
          <w:szCs w:val="20"/>
          <w:color w:val="auto"/>
        </w:rPr>
      </w:pPr>
    </w:p>
    <w:p>
      <w:pPr>
        <w:ind w:left="880" w:right="60"/>
        <w:spacing w:after="0" w:line="277" w:lineRule="auto"/>
        <w:rPr>
          <w:sz w:val="20"/>
          <w:szCs w:val="20"/>
          <w:color w:val="auto"/>
        </w:rPr>
      </w:pPr>
      <w:r>
        <w:rPr>
          <w:rFonts w:ascii="Times New Roman" w:cs="Times New Roman" w:eastAsia="Times New Roman" w:hAnsi="Times New Roman"/>
          <w:sz w:val="15"/>
          <w:szCs w:val="15"/>
          <w:color w:val="auto"/>
        </w:rPr>
        <w:t>Participants direct how their contributions and employer contributions made on their behalf are invested. At December 31, 2025, the Plan had balances in 21 investment funds, consisting of 16 mutual funds, two pooled separate accounts, a common collective trust fund, a U.S. Treasury Cash Reserve Fund, and CoreCivic, Inc. common stock.</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Vesting</w:t>
      </w:r>
    </w:p>
    <w:p>
      <w:pPr>
        <w:spacing w:after="0" w:line="110" w:lineRule="exact"/>
        <w:rPr>
          <w:sz w:val="20"/>
          <w:szCs w:val="20"/>
          <w:color w:val="auto"/>
        </w:rPr>
      </w:pPr>
    </w:p>
    <w:p>
      <w:pPr>
        <w:ind w:left="880" w:right="140"/>
        <w:spacing w:after="0" w:line="271" w:lineRule="auto"/>
        <w:rPr>
          <w:sz w:val="20"/>
          <w:szCs w:val="20"/>
          <w:color w:val="auto"/>
        </w:rPr>
      </w:pPr>
      <w:r>
        <w:rPr>
          <w:rFonts w:ascii="Times New Roman" w:cs="Times New Roman" w:eastAsia="Times New Roman" w:hAnsi="Times New Roman"/>
          <w:sz w:val="15"/>
          <w:szCs w:val="15"/>
          <w:color w:val="auto"/>
        </w:rPr>
        <w:t>Participants are fully vested in their employee contributions, safe harbor matching contributions, non-elective employer contributions, and/or rollover contributions and the earnings (losses) thereon. Vesting in discretionary employer contributions is based on years of service. All active participants become vested in such discretionary employer contributions made and investment earnings (losses) thereon according to the following schedule of service:</w:t>
      </w:r>
    </w:p>
    <w:p>
      <w:pPr>
        <w:spacing w:after="0" w:line="188" w:lineRule="exact"/>
        <w:rPr>
          <w:sz w:val="20"/>
          <w:szCs w:val="20"/>
          <w:color w:val="auto"/>
        </w:rPr>
      </w:pPr>
    </w:p>
    <w:tbl>
      <w:tblPr>
        <w:tblLayout w:type="fixed"/>
        <w:tblInd w:w="2400" w:type="dxa"/>
        <w:tblCellMar>
          <w:top w:w="0" w:type="dxa"/>
          <w:left w:w="0" w:type="dxa"/>
          <w:bottom w:w="0" w:type="dxa"/>
          <w:right w:w="0" w:type="dxa"/>
        </w:tblCellMar>
      </w:tblPr>
      <w:tr>
        <w:trPr>
          <w:trHeight w:val="18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than two years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86"/>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Two years</w:t>
            </w:r>
          </w:p>
        </w:tc>
        <w:tc>
          <w:tcPr>
            <w:tcW w:w="2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Three years</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6"/>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Four years</w:t>
            </w:r>
          </w:p>
        </w:tc>
        <w:tc>
          <w:tcPr>
            <w:tcW w:w="2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8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Five years or more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bl>
    <w:p>
      <w:pPr>
        <w:spacing w:after="0" w:line="171" w:lineRule="exact"/>
        <w:rPr>
          <w:sz w:val="20"/>
          <w:szCs w:val="20"/>
          <w:color w:val="auto"/>
        </w:rPr>
      </w:pPr>
    </w:p>
    <w:p>
      <w:pPr>
        <w:ind w:left="880" w:right="160"/>
        <w:spacing w:after="0" w:line="296" w:lineRule="auto"/>
        <w:rPr>
          <w:sz w:val="20"/>
          <w:szCs w:val="20"/>
          <w:color w:val="auto"/>
        </w:rPr>
      </w:pPr>
      <w:r>
        <w:rPr>
          <w:rFonts w:ascii="Times New Roman" w:cs="Times New Roman" w:eastAsia="Times New Roman" w:hAnsi="Times New Roman"/>
          <w:sz w:val="15"/>
          <w:szCs w:val="15"/>
          <w:color w:val="auto"/>
        </w:rPr>
        <w:t>In the event of death, disability, or upon attainment of the Plan’s retirement age, as defined in the Plan agreement, participants become fully vested in their employer contributions.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280"/>
          </w:cols>
          <w:pgMar w:left="320" w:top="434" w:right="1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Payment of Benefits</w:t>
      </w:r>
    </w:p>
    <w:p>
      <w:pPr>
        <w:spacing w:after="0" w:line="110" w:lineRule="exact"/>
        <w:rPr>
          <w:sz w:val="20"/>
          <w:szCs w:val="20"/>
          <w:color w:val="auto"/>
        </w:rPr>
      </w:pPr>
    </w:p>
    <w:p>
      <w:pPr>
        <w:ind w:left="880" w:right="500"/>
        <w:spacing w:after="0" w:line="296" w:lineRule="auto"/>
        <w:rPr>
          <w:sz w:val="20"/>
          <w:szCs w:val="20"/>
          <w:color w:val="auto"/>
        </w:rPr>
      </w:pPr>
      <w:r>
        <w:rPr>
          <w:rFonts w:ascii="Times New Roman" w:cs="Times New Roman" w:eastAsia="Times New Roman" w:hAnsi="Times New Roman"/>
          <w:sz w:val="15"/>
          <w:szCs w:val="15"/>
          <w:color w:val="auto"/>
        </w:rPr>
        <w:t>Upon death, disability, retirement, or termination of employment, participants or their beneficiaries may elect to receive a lump-sum distribution, payable in the form of cash of the vested portion of their account balance.</w:t>
      </w:r>
    </w:p>
    <w:p>
      <w:pPr>
        <w:spacing w:after="0" w:line="132" w:lineRule="exact"/>
        <w:rPr>
          <w:sz w:val="20"/>
          <w:szCs w:val="20"/>
          <w:color w:val="auto"/>
        </w:rPr>
      </w:pPr>
    </w:p>
    <w:p>
      <w:pPr>
        <w:ind w:left="880" w:right="160"/>
        <w:spacing w:after="0" w:line="271" w:lineRule="auto"/>
        <w:rPr>
          <w:sz w:val="20"/>
          <w:szCs w:val="20"/>
          <w:color w:val="auto"/>
        </w:rPr>
      </w:pPr>
      <w:r>
        <w:rPr>
          <w:rFonts w:ascii="Times New Roman" w:cs="Times New Roman" w:eastAsia="Times New Roman" w:hAnsi="Times New Roman"/>
          <w:sz w:val="15"/>
          <w:szCs w:val="15"/>
          <w:color w:val="auto"/>
        </w:rPr>
        <w:t>Participants who were participants in a plan assumed by CoreCivic in connection with the acquisition of U.S. Corrections Corporation in 1998 are offered the option of a hardship distribution. Cases of financial hardship are reviewed and approved by the Plan Administrator. A hardship distribution cannot be taken until the participant has exhausted other means of financing through the Plan or other plans maintained by CoreCivic. A hardship can only be taken from the amounts accumulated in the participant’s account through employee deferral contributions.</w:t>
      </w:r>
    </w:p>
    <w:p>
      <w:pPr>
        <w:spacing w:after="0" w:line="150" w:lineRule="exact"/>
        <w:rPr>
          <w:sz w:val="20"/>
          <w:szCs w:val="20"/>
          <w:color w:val="auto"/>
        </w:rPr>
      </w:pPr>
    </w:p>
    <w:p>
      <w:pPr>
        <w:ind w:left="880" w:right="60"/>
        <w:spacing w:after="0" w:line="277" w:lineRule="auto"/>
        <w:rPr>
          <w:sz w:val="20"/>
          <w:szCs w:val="20"/>
          <w:color w:val="auto"/>
        </w:rPr>
      </w:pPr>
      <w:r>
        <w:rPr>
          <w:rFonts w:ascii="Times New Roman" w:cs="Times New Roman" w:eastAsia="Times New Roman" w:hAnsi="Times New Roman"/>
          <w:sz w:val="15"/>
          <w:szCs w:val="15"/>
          <w:color w:val="auto"/>
        </w:rPr>
        <w:t>Effective October 1, 2022, CoreCivic amended the Plan to allow in-service withdrawals from the pre-tax salary deferral money type for employees ages 62 and older. At the same time, the Plan was also amended to allow in-service withdrawals from the Rollover Contribution money type, with no age requirements for this type of in-service withdrawal.</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Forfeitures</w:t>
      </w:r>
    </w:p>
    <w:p>
      <w:pPr>
        <w:spacing w:after="0" w:line="110" w:lineRule="exact"/>
        <w:rPr>
          <w:sz w:val="20"/>
          <w:szCs w:val="20"/>
          <w:color w:val="auto"/>
        </w:rPr>
      </w:pPr>
    </w:p>
    <w:p>
      <w:pPr>
        <w:jc w:val="both"/>
        <w:ind w:left="880" w:right="440"/>
        <w:spacing w:after="0" w:line="277" w:lineRule="auto"/>
        <w:rPr>
          <w:sz w:val="20"/>
          <w:szCs w:val="20"/>
          <w:color w:val="auto"/>
        </w:rPr>
      </w:pPr>
      <w:r>
        <w:rPr>
          <w:rFonts w:ascii="Times New Roman" w:cs="Times New Roman" w:eastAsia="Times New Roman" w:hAnsi="Times New Roman"/>
          <w:sz w:val="15"/>
          <w:szCs w:val="15"/>
          <w:color w:val="auto"/>
        </w:rPr>
        <w:t>Amounts not vested upon termination of employment are forfeited by participants and may be used to fund CoreCivic’s matching or discretionary contributions or pay Plan expenses. At December 31, 2025, and 2024, unallocated non-vested accounts totaled $28,899 and $15,312, respectively. During the year ended December 31, 2025, no forfeitures were used.</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Notes Receivable from Participants</w:t>
      </w:r>
    </w:p>
    <w:p>
      <w:pPr>
        <w:spacing w:after="0" w:line="110" w:lineRule="exact"/>
        <w:rPr>
          <w:sz w:val="20"/>
          <w:szCs w:val="20"/>
          <w:color w:val="auto"/>
        </w:rPr>
      </w:pPr>
    </w:p>
    <w:p>
      <w:pPr>
        <w:ind w:left="880"/>
        <w:spacing w:after="0" w:line="271" w:lineRule="auto"/>
        <w:rPr>
          <w:sz w:val="20"/>
          <w:szCs w:val="20"/>
          <w:color w:val="auto"/>
        </w:rPr>
      </w:pPr>
      <w:r>
        <w:rPr>
          <w:rFonts w:ascii="Times New Roman" w:cs="Times New Roman" w:eastAsia="Times New Roman" w:hAnsi="Times New Roman"/>
          <w:sz w:val="15"/>
          <w:szCs w:val="15"/>
          <w:color w:val="auto"/>
        </w:rPr>
        <w:t>A participant may borrow the lesser of $50,000 or 50% of his or her vested account balance with a minimum loan amount of $1,000. A participant may have only one loan outstanding at any time. Loans are repayable through payroll deductions over periods ranging up to 60 months. The loans are secured by the balance in the participant’s account. The interest rate for the loan is 1% over the Prime Rate published in the Wall Street Journal on the first business day of the month the loan is originated. The interest rates on outstanding loans as of December 31, 2025, ranged between 4.25% and 9.50%.</w:t>
      </w:r>
    </w:p>
    <w:p>
      <w:pPr>
        <w:spacing w:after="0" w:line="2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Plan Termination</w:t>
      </w:r>
    </w:p>
    <w:p>
      <w:pPr>
        <w:spacing w:after="0" w:line="110" w:lineRule="exact"/>
        <w:rPr>
          <w:sz w:val="20"/>
          <w:szCs w:val="20"/>
          <w:color w:val="auto"/>
        </w:rPr>
      </w:pPr>
    </w:p>
    <w:p>
      <w:pPr>
        <w:jc w:val="both"/>
        <w:ind w:left="880" w:right="40"/>
        <w:spacing w:after="0" w:line="277" w:lineRule="auto"/>
        <w:rPr>
          <w:sz w:val="20"/>
          <w:szCs w:val="20"/>
          <w:color w:val="auto"/>
        </w:rPr>
      </w:pPr>
      <w:r>
        <w:rPr>
          <w:rFonts w:ascii="Times New Roman" w:cs="Times New Roman" w:eastAsia="Times New Roman" w:hAnsi="Times New Roman"/>
          <w:sz w:val="15"/>
          <w:szCs w:val="15"/>
          <w:color w:val="auto"/>
        </w:rPr>
        <w:t>Although it has not expressed any intention to do so, CoreCivic may terminate the Plan or trust agreement at any time. In the event of Plan termination, participants’ interests in employer contributions will become fully vested, and the accounts will be paid in lump-sum distributions as soon as practicable after the termination.</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110" w:lineRule="exact"/>
        <w:rPr>
          <w:sz w:val="20"/>
          <w:szCs w:val="20"/>
          <w:color w:val="auto"/>
        </w:rPr>
      </w:pPr>
    </w:p>
    <w:p>
      <w:pPr>
        <w:ind w:left="880" w:right="320"/>
        <w:spacing w:after="0" w:line="296" w:lineRule="auto"/>
        <w:rPr>
          <w:sz w:val="20"/>
          <w:szCs w:val="20"/>
          <w:color w:val="auto"/>
        </w:rPr>
      </w:pPr>
      <w:r>
        <w:rPr>
          <w:rFonts w:ascii="Times New Roman" w:cs="Times New Roman" w:eastAsia="Times New Roman" w:hAnsi="Times New Roman"/>
          <w:sz w:val="15"/>
          <w:szCs w:val="15"/>
          <w:color w:val="auto"/>
        </w:rPr>
        <w:t>Each participant is entitled to exercise voting rights attributable to the shares of CoreCivic, Inc. common stock allocated to his or her account and is notified by the Trustee prior to the time such rights are to be exercised.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360"/>
          </w:cols>
          <w:pgMar w:left="320" w:top="434" w:right="1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B - SUMMARY OF SIGNIFICANT ACCOUNTING POLICIES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Basis of Accounting</w:t>
      </w:r>
    </w:p>
    <w:p>
      <w:pPr>
        <w:spacing w:after="0" w:line="1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The financial statements of the Plan are presented on the accrual basis of accounting.</w:t>
      </w:r>
    </w:p>
    <w:p>
      <w:pPr>
        <w:spacing w:after="0" w:line="2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10" w:lineRule="exact"/>
        <w:rPr>
          <w:sz w:val="20"/>
          <w:szCs w:val="20"/>
          <w:color w:val="auto"/>
        </w:rPr>
      </w:pPr>
    </w:p>
    <w:p>
      <w:pPr>
        <w:ind w:left="880"/>
        <w:spacing w:after="0" w:line="277" w:lineRule="auto"/>
        <w:rPr>
          <w:sz w:val="20"/>
          <w:szCs w:val="20"/>
          <w:color w:val="auto"/>
        </w:rPr>
      </w:pPr>
      <w:r>
        <w:rPr>
          <w:rFonts w:ascii="Times New Roman" w:cs="Times New Roman" w:eastAsia="Times New Roman" w:hAnsi="Times New Roman"/>
          <w:sz w:val="15"/>
          <w:szCs w:val="15"/>
          <w:color w:val="auto"/>
        </w:rPr>
        <w:t>The preparation of the financial statements in conformity with accounting principles generally accepted in the United States of America (“U.S. GAAP”) requires Plan management to make estimates and assumptions that affect the reported amounts of assets and liabilities, and changes therein, and the disclosure of contingent assets and liabilities at the date of the financial statements. Actual results could differ from these estimates.</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Investment Valuation and Income Recognition</w:t>
      </w:r>
    </w:p>
    <w:p>
      <w:pPr>
        <w:spacing w:after="0" w:line="110" w:lineRule="exact"/>
        <w:rPr>
          <w:sz w:val="20"/>
          <w:szCs w:val="20"/>
          <w:color w:val="auto"/>
        </w:rPr>
      </w:pPr>
    </w:p>
    <w:p>
      <w:pPr>
        <w:ind w:left="880" w:right="80"/>
        <w:spacing w:after="0" w:line="277" w:lineRule="auto"/>
        <w:rPr>
          <w:sz w:val="20"/>
          <w:szCs w:val="20"/>
          <w:color w:val="auto"/>
        </w:rPr>
      </w:pPr>
      <w:r>
        <w:rPr>
          <w:rFonts w:ascii="Times New Roman" w:cs="Times New Roman" w:eastAsia="Times New Roman" w:hAnsi="Times New Roman"/>
          <w:sz w:val="15"/>
          <w:szCs w:val="15"/>
          <w:color w:val="auto"/>
        </w:rPr>
        <w:t>Investments are carried at fair value as determined on the last day of the Plan year. Fair value of financial instruments is what would be received to sell an asset or paid to transfer a liability in an orderly transaction between market participants at the measurement date. See Note C for discussion of fair value measurements.</w:t>
      </w:r>
    </w:p>
    <w:p>
      <w:pPr>
        <w:spacing w:after="0" w:line="146" w:lineRule="exact"/>
        <w:rPr>
          <w:sz w:val="20"/>
          <w:szCs w:val="20"/>
          <w:color w:val="auto"/>
        </w:rPr>
      </w:pPr>
    </w:p>
    <w:p>
      <w:pPr>
        <w:ind w:left="880" w:right="100"/>
        <w:spacing w:after="0" w:line="296" w:lineRule="auto"/>
        <w:rPr>
          <w:sz w:val="20"/>
          <w:szCs w:val="20"/>
          <w:color w:val="auto"/>
        </w:rPr>
      </w:pPr>
      <w:r>
        <w:rPr>
          <w:rFonts w:ascii="Times New Roman" w:cs="Times New Roman" w:eastAsia="Times New Roman" w:hAnsi="Times New Roman"/>
          <w:sz w:val="15"/>
          <w:szCs w:val="15"/>
          <w:color w:val="auto"/>
        </w:rPr>
        <w:t>Purchases and sales of securities are recorded on a trade date basis. Dividends are recorded on the ex-dividend date. Interest income is recorded on the accrual basis. Net appreciation includes the Plan’s gains and losses on investments bought and sold as well as held during the year.</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Contributions</w:t>
      </w:r>
    </w:p>
    <w:p>
      <w:pPr>
        <w:spacing w:after="0" w:line="110" w:lineRule="exact"/>
        <w:rPr>
          <w:sz w:val="20"/>
          <w:szCs w:val="20"/>
          <w:color w:val="auto"/>
        </w:rPr>
      </w:pPr>
    </w:p>
    <w:p>
      <w:pPr>
        <w:ind w:left="880" w:right="100"/>
        <w:spacing w:after="0" w:line="296" w:lineRule="auto"/>
        <w:rPr>
          <w:sz w:val="20"/>
          <w:szCs w:val="20"/>
          <w:color w:val="auto"/>
        </w:rPr>
      </w:pPr>
      <w:r>
        <w:rPr>
          <w:rFonts w:ascii="Times New Roman" w:cs="Times New Roman" w:eastAsia="Times New Roman" w:hAnsi="Times New Roman"/>
          <w:sz w:val="15"/>
          <w:szCs w:val="15"/>
          <w:color w:val="auto"/>
        </w:rPr>
        <w:t>Contributions from Plan participants and the matching contributions from each Participating Employer are recorded in the year in which the employee contributions are withheld from compensation.</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Notes Receivable from Participants</w:t>
      </w:r>
    </w:p>
    <w:p>
      <w:pPr>
        <w:spacing w:after="0" w:line="110" w:lineRule="exact"/>
        <w:rPr>
          <w:sz w:val="20"/>
          <w:szCs w:val="20"/>
          <w:color w:val="auto"/>
        </w:rPr>
      </w:pPr>
    </w:p>
    <w:p>
      <w:pPr>
        <w:ind w:left="880" w:right="520"/>
        <w:spacing w:after="0" w:line="296" w:lineRule="auto"/>
        <w:rPr>
          <w:sz w:val="20"/>
          <w:szCs w:val="20"/>
          <w:color w:val="auto"/>
        </w:rPr>
      </w:pPr>
      <w:r>
        <w:rPr>
          <w:rFonts w:ascii="Times New Roman" w:cs="Times New Roman" w:eastAsia="Times New Roman" w:hAnsi="Times New Roman"/>
          <w:sz w:val="15"/>
          <w:szCs w:val="15"/>
          <w:color w:val="auto"/>
        </w:rPr>
        <w:t>Notes receivable from participants are measured at their principal balance plus any accrued but unpaid interest. Delinquent participant loans are reclassified as distributions based upon the terms of the Plan document.</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Payment of Benefits</w:t>
      </w:r>
    </w:p>
    <w:p>
      <w:pPr>
        <w:spacing w:after="0" w:line="1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Benefits are recorded when paid.</w:t>
      </w:r>
    </w:p>
    <w:p>
      <w:pPr>
        <w:spacing w:after="0" w:line="2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Administrative Expenses</w:t>
      </w:r>
    </w:p>
    <w:p>
      <w:pPr>
        <w:spacing w:after="0" w:line="110" w:lineRule="exact"/>
        <w:rPr>
          <w:sz w:val="20"/>
          <w:szCs w:val="20"/>
          <w:color w:val="auto"/>
        </w:rPr>
      </w:pPr>
    </w:p>
    <w:p>
      <w:pPr>
        <w:ind w:left="880" w:right="40"/>
        <w:spacing w:after="0" w:line="271" w:lineRule="auto"/>
        <w:rPr>
          <w:sz w:val="20"/>
          <w:szCs w:val="20"/>
          <w:color w:val="auto"/>
        </w:rPr>
      </w:pPr>
      <w:r>
        <w:rPr>
          <w:rFonts w:ascii="Times New Roman" w:cs="Times New Roman" w:eastAsia="Times New Roman" w:hAnsi="Times New Roman"/>
          <w:sz w:val="15"/>
          <w:szCs w:val="15"/>
          <w:color w:val="auto"/>
        </w:rPr>
        <w:t>Processing fees of the Plan are charged against the participant’s account balance that was responsible for the expense. Effective 2022, administrative expenses are paid by the Plan or may be paid by the Employer at the Employer’s discretion. Administrative expenses paid by the Plan may be allocated to participants on a Pro Rata or Per Capita basis, at the Employer’s discretion. Administrative expenses paid by the Employer are excluded from these financial statements. Investment-related expenses are included in the net appreciation in fair value of investments.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300"/>
          </w:cols>
          <w:pgMar w:left="320" w:top="434"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7" w:lineRule="exact"/>
        <w:rPr>
          <w:sz w:val="20"/>
          <w:szCs w:val="20"/>
          <w:color w:val="auto"/>
        </w:rPr>
      </w:pPr>
    </w:p>
    <w:p>
      <w:pPr>
        <w:ind w:left="880" w:right="60"/>
        <w:spacing w:after="0" w:line="275" w:lineRule="auto"/>
        <w:rPr>
          <w:sz w:val="20"/>
          <w:szCs w:val="20"/>
          <w:color w:val="auto"/>
        </w:rPr>
      </w:pPr>
      <w:r>
        <w:rPr>
          <w:rFonts w:ascii="Times New Roman" w:cs="Times New Roman" w:eastAsia="Times New Roman" w:hAnsi="Times New Roman"/>
          <w:sz w:val="15"/>
          <w:szCs w:val="15"/>
          <w:color w:val="auto"/>
        </w:rPr>
        <w:t>The agreement between the Trustee and the Plan included a revenue-sharing arrangement, whereby the Trustee shares revenue generated by the Plan in excess of the Trustee’s fee. These deposits are included as part of the net appreciation in fair value of investments on the Statement of Changes in Net Assets Available for Benefits. These funds are used to pay other Plan expenses, with the option of any remaining amounts being reallocated to participants.</w:t>
      </w:r>
    </w:p>
    <w:p>
      <w:pPr>
        <w:spacing w:after="0" w:line="336" w:lineRule="exact"/>
        <w:rPr>
          <w:sz w:val="20"/>
          <w:szCs w:val="20"/>
          <w:color w:val="auto"/>
        </w:rPr>
      </w:pPr>
    </w:p>
    <w:p>
      <w:pPr>
        <w:ind w:left="880" w:right="240"/>
        <w:spacing w:after="0" w:line="296" w:lineRule="auto"/>
        <w:rPr>
          <w:sz w:val="20"/>
          <w:szCs w:val="20"/>
          <w:color w:val="auto"/>
        </w:rPr>
      </w:pPr>
      <w:r>
        <w:rPr>
          <w:rFonts w:ascii="Times New Roman" w:cs="Times New Roman" w:eastAsia="Times New Roman" w:hAnsi="Times New Roman"/>
          <w:sz w:val="15"/>
          <w:szCs w:val="15"/>
          <w:color w:val="auto"/>
        </w:rPr>
        <w:t>At December 31, 2025 and 2024, $204,810 and $222,609 respectively, were available to be reallocated or pay Plan expenses. During the year ended December 31, 2025, $124,943 were used to pay Plan expenses. No amounts were reallocated to participants in 2025.</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Risks, Uncertainties and Concentrations</w:t>
      </w:r>
    </w:p>
    <w:p>
      <w:pPr>
        <w:spacing w:after="0" w:line="110" w:lineRule="exact"/>
        <w:rPr>
          <w:sz w:val="20"/>
          <w:szCs w:val="20"/>
          <w:color w:val="auto"/>
        </w:rPr>
      </w:pPr>
    </w:p>
    <w:p>
      <w:pPr>
        <w:jc w:val="both"/>
        <w:ind w:left="880" w:right="180"/>
        <w:spacing w:after="0" w:line="277" w:lineRule="auto"/>
        <w:rPr>
          <w:sz w:val="20"/>
          <w:szCs w:val="20"/>
          <w:color w:val="auto"/>
        </w:rPr>
      </w:pPr>
      <w:r>
        <w:rPr>
          <w:rFonts w:ascii="Times New Roman" w:cs="Times New Roman" w:eastAsia="Times New Roman" w:hAnsi="Times New Roman"/>
          <w:sz w:val="15"/>
          <w:szCs w:val="15"/>
          <w:color w:val="auto"/>
        </w:rPr>
        <w:t>Investments, in general, are exposed to various risks, such as interest rate, credit, and overall market volatility risk. Due to the level of risk associated with investment securities, it is reasonably possible that changes in the values of investments will occur in the near term and that such changes could materially affect participants’ account balances and the amounts reported in the statements of net assets available for benefits.</w:t>
      </w:r>
    </w:p>
    <w:p>
      <w:pPr>
        <w:spacing w:after="0" w:line="146" w:lineRule="exact"/>
        <w:rPr>
          <w:sz w:val="20"/>
          <w:szCs w:val="20"/>
          <w:color w:val="auto"/>
        </w:rPr>
      </w:pPr>
    </w:p>
    <w:p>
      <w:pPr>
        <w:ind w:left="880" w:right="140"/>
        <w:spacing w:after="0" w:line="296" w:lineRule="auto"/>
        <w:rPr>
          <w:sz w:val="20"/>
          <w:szCs w:val="20"/>
          <w:color w:val="auto"/>
        </w:rPr>
      </w:pPr>
      <w:r>
        <w:rPr>
          <w:rFonts w:ascii="Times New Roman" w:cs="Times New Roman" w:eastAsia="Times New Roman" w:hAnsi="Times New Roman"/>
          <w:sz w:val="15"/>
          <w:szCs w:val="15"/>
          <w:color w:val="auto"/>
        </w:rPr>
        <w:t>At December 31, 2025 and 2024, the Plan held investments in Vanguard Institutional Index Fund and Fidelity Advisor Equity Growth Z, representing approximately 18% and 16%, respectively, of Plan investments in 2025 and 18% and 17%, respectively, in 2024.</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C - FAIR VALUE MEASUREMENTS</w:t>
      </w:r>
    </w:p>
    <w:p>
      <w:pPr>
        <w:spacing w:after="0" w:line="110" w:lineRule="exact"/>
        <w:rPr>
          <w:sz w:val="20"/>
          <w:szCs w:val="20"/>
          <w:color w:val="auto"/>
        </w:rPr>
      </w:pPr>
    </w:p>
    <w:p>
      <w:pPr>
        <w:ind w:left="880" w:right="80"/>
        <w:spacing w:after="0" w:line="268" w:lineRule="auto"/>
        <w:rPr>
          <w:sz w:val="20"/>
          <w:szCs w:val="20"/>
          <w:color w:val="auto"/>
        </w:rPr>
      </w:pPr>
      <w:r>
        <w:rPr>
          <w:rFonts w:ascii="Times New Roman" w:cs="Times New Roman" w:eastAsia="Times New Roman" w:hAnsi="Times New Roman"/>
          <w:sz w:val="15"/>
          <w:szCs w:val="15"/>
          <w:color w:val="auto"/>
        </w:rPr>
        <w:t>The Plan values assets in accordance with the fair value standard. The standard clarifies the definition of fair value, establishes a framework for measuring fair value, and expands the disclosures for fair value measurement. The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5" w:lineRule="exact"/>
        <w:rPr>
          <w:sz w:val="20"/>
          <w:szCs w:val="20"/>
          <w:color w:val="auto"/>
        </w:rPr>
      </w:pPr>
    </w:p>
    <w:p>
      <w:pPr>
        <w:ind w:left="1260"/>
        <w:spacing w:after="0" w:line="302" w:lineRule="auto"/>
        <w:rPr>
          <w:sz w:val="20"/>
          <w:szCs w:val="20"/>
          <w:color w:val="auto"/>
        </w:rPr>
      </w:pPr>
      <w:r>
        <w:rPr>
          <w:rFonts w:ascii="Times New Roman" w:cs="Times New Roman" w:eastAsia="Times New Roman" w:hAnsi="Times New Roman"/>
          <w:sz w:val="15"/>
          <w:szCs w:val="15"/>
          <w:b w:val="1"/>
          <w:bCs w:val="1"/>
          <w:u w:val="single" w:color="auto"/>
          <w:color w:val="auto"/>
        </w:rPr>
        <w:t>Level 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Inputs to the valuation methodology are unadjusted quoted prices for identical assets or liabilities in active markets that the Plan has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ability to access.</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b w:val="1"/>
          <w:bCs w:val="1"/>
          <w:u w:val="single" w:color="auto"/>
          <w:color w:val="auto"/>
        </w:rPr>
        <w:t>Level 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Inputs to the valuation methodology include:</w:t>
      </w:r>
    </w:p>
    <w:p>
      <w:pPr>
        <w:spacing w:after="0" w:line="122" w:lineRule="exact"/>
        <w:rPr>
          <w:sz w:val="20"/>
          <w:szCs w:val="20"/>
          <w:color w:val="auto"/>
        </w:rPr>
      </w:pPr>
    </w:p>
    <w:p>
      <w:pPr>
        <w:ind w:left="2100" w:hanging="273"/>
        <w:spacing w:after="0"/>
        <w:tabs>
          <w:tab w:leader="none" w:pos="2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Quoted prices for similar assets or liabilities in active markets;</w:t>
      </w:r>
    </w:p>
    <w:p>
      <w:pPr>
        <w:spacing w:after="0" w:line="117" w:lineRule="exact"/>
        <w:rPr>
          <w:rFonts w:ascii="Times New Roman" w:cs="Times New Roman" w:eastAsia="Times New Roman" w:hAnsi="Times New Roman"/>
          <w:sz w:val="15"/>
          <w:szCs w:val="15"/>
          <w:color w:val="auto"/>
        </w:rPr>
      </w:pPr>
    </w:p>
    <w:p>
      <w:pPr>
        <w:ind w:left="2100" w:hanging="273"/>
        <w:spacing w:after="0"/>
        <w:tabs>
          <w:tab w:leader="none" w:pos="2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Quoted prices for identical or similar assets or liabilities in inactive markets;</w:t>
      </w:r>
    </w:p>
    <w:p>
      <w:pPr>
        <w:spacing w:after="0" w:line="117" w:lineRule="exact"/>
        <w:rPr>
          <w:rFonts w:ascii="Times New Roman" w:cs="Times New Roman" w:eastAsia="Times New Roman" w:hAnsi="Times New Roman"/>
          <w:sz w:val="15"/>
          <w:szCs w:val="15"/>
          <w:color w:val="auto"/>
        </w:rPr>
      </w:pPr>
    </w:p>
    <w:p>
      <w:pPr>
        <w:ind w:left="2100" w:hanging="273"/>
        <w:spacing w:after="0"/>
        <w:tabs>
          <w:tab w:leader="none" w:pos="2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Inputs other than quoted prices that are observable for the asset or liability;</w:t>
      </w:r>
    </w:p>
    <w:p>
      <w:pPr>
        <w:spacing w:after="0" w:line="117" w:lineRule="exact"/>
        <w:rPr>
          <w:rFonts w:ascii="Times New Roman" w:cs="Times New Roman" w:eastAsia="Times New Roman" w:hAnsi="Times New Roman"/>
          <w:sz w:val="15"/>
          <w:szCs w:val="15"/>
          <w:color w:val="auto"/>
        </w:rPr>
      </w:pPr>
    </w:p>
    <w:p>
      <w:pPr>
        <w:ind w:left="2100" w:hanging="273"/>
        <w:spacing w:after="0"/>
        <w:tabs>
          <w:tab w:leader="none" w:pos="2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Inputs that are derived principally from or corroborated by observable market data by correlation or other means.</w:t>
      </w:r>
    </w:p>
    <w:p>
      <w:pPr>
        <w:spacing w:after="0" w:line="140"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w:t>
      </w:r>
    </w:p>
    <w:p>
      <w:pPr>
        <w:sectPr>
          <w:pgSz w:w="11900" w:h="16838" w:orient="portrait"/>
          <w:cols w:equalWidth="0" w:num="1">
            <w:col w:w="10300"/>
          </w:cols>
          <w:pgMar w:left="320" w:top="43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7" w:lineRule="exact"/>
        <w:rPr>
          <w:sz w:val="20"/>
          <w:szCs w:val="20"/>
          <w:color w:val="auto"/>
        </w:rPr>
      </w:pPr>
    </w:p>
    <w:p>
      <w:pPr>
        <w:ind w:left="1260" w:right="520"/>
        <w:spacing w:after="0" w:line="296" w:lineRule="auto"/>
        <w:rPr>
          <w:sz w:val="20"/>
          <w:szCs w:val="20"/>
          <w:color w:val="auto"/>
        </w:rPr>
      </w:pPr>
      <w:r>
        <w:rPr>
          <w:rFonts w:ascii="Times New Roman" w:cs="Times New Roman" w:eastAsia="Times New Roman" w:hAnsi="Times New Roman"/>
          <w:sz w:val="15"/>
          <w:szCs w:val="15"/>
          <w:color w:val="auto"/>
        </w:rPr>
        <w:t>If the asset or liability has a specified (contractual) term, the Level 2 input must be observable for substantially the full term of the asset or liability.</w:t>
      </w:r>
    </w:p>
    <w:p>
      <w:pPr>
        <w:spacing w:after="0" w:line="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b w:val="1"/>
          <w:bCs w:val="1"/>
          <w:u w:val="single" w:color="auto"/>
          <w:color w:val="auto"/>
        </w:rPr>
        <w:t>Level 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Inputs to the valuation methodology are unobservable and significant to the fair value measurement.</w:t>
      </w:r>
    </w:p>
    <w:p>
      <w:pPr>
        <w:spacing w:after="0" w:line="203" w:lineRule="exact"/>
        <w:rPr>
          <w:sz w:val="20"/>
          <w:szCs w:val="20"/>
          <w:color w:val="auto"/>
        </w:rPr>
      </w:pPr>
    </w:p>
    <w:p>
      <w:pPr>
        <w:ind w:left="880" w:right="40"/>
        <w:spacing w:after="0" w:line="296" w:lineRule="auto"/>
        <w:rPr>
          <w:sz w:val="20"/>
          <w:szCs w:val="20"/>
          <w:color w:val="auto"/>
        </w:rPr>
      </w:pPr>
      <w:r>
        <w:rPr>
          <w:rFonts w:ascii="Times New Roman" w:cs="Times New Roman" w:eastAsia="Times New Roman" w:hAnsi="Times New Roman"/>
          <w:sz w:val="15"/>
          <w:szCs w:val="15"/>
          <w:color w:val="auto"/>
        </w:rPr>
        <w:t>The asset’s or liability’s fair value measurement level within the fair value hierarchy is based on the lowest level of any input that is significant to the fair value measurement. Valuation techniques used need to maximize the use of relevant observable inputs and minimize the use of unobservable inputs.</w:t>
      </w:r>
    </w:p>
    <w:p>
      <w:pPr>
        <w:spacing w:after="0" w:line="132" w:lineRule="exact"/>
        <w:rPr>
          <w:sz w:val="20"/>
          <w:szCs w:val="20"/>
          <w:color w:val="auto"/>
        </w:rPr>
      </w:pPr>
    </w:p>
    <w:p>
      <w:pPr>
        <w:ind w:left="880" w:right="140"/>
        <w:spacing w:after="0" w:line="296" w:lineRule="auto"/>
        <w:rPr>
          <w:sz w:val="20"/>
          <w:szCs w:val="20"/>
          <w:color w:val="auto"/>
        </w:rPr>
      </w:pPr>
      <w:r>
        <w:rPr>
          <w:rFonts w:ascii="Times New Roman" w:cs="Times New Roman" w:eastAsia="Times New Roman" w:hAnsi="Times New Roman"/>
          <w:sz w:val="15"/>
          <w:szCs w:val="15"/>
          <w:color w:val="auto"/>
        </w:rPr>
        <w:t>The following is a description of the valuation methodologies used for assets measured at fair value. There have been no changes in the methodologies used at December 31, 2025 and 2024.</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i w:val="1"/>
          <w:iCs w:val="1"/>
          <w:u w:val="single" w:color="auto"/>
          <w:color w:val="auto"/>
        </w:rPr>
        <w:t>Common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Valued at the closing price reported on the active market on which the individual security is traded.</w:t>
      </w:r>
    </w:p>
    <w:p>
      <w:pPr>
        <w:spacing w:after="0" w:line="199" w:lineRule="exact"/>
        <w:rPr>
          <w:sz w:val="20"/>
          <w:szCs w:val="20"/>
          <w:color w:val="auto"/>
        </w:rPr>
      </w:pPr>
    </w:p>
    <w:p>
      <w:pPr>
        <w:ind w:left="880" w:right="80"/>
        <w:spacing w:after="0" w:line="302" w:lineRule="auto"/>
        <w:rPr>
          <w:sz w:val="20"/>
          <w:szCs w:val="20"/>
          <w:color w:val="auto"/>
        </w:rPr>
      </w:pPr>
      <w:r>
        <w:rPr>
          <w:rFonts w:ascii="Times New Roman" w:cs="Times New Roman" w:eastAsia="Times New Roman" w:hAnsi="Times New Roman"/>
          <w:sz w:val="15"/>
          <w:szCs w:val="15"/>
          <w:i w:val="1"/>
          <w:iCs w:val="1"/>
          <w:u w:val="single" w:color="auto"/>
          <w:color w:val="auto"/>
        </w:rPr>
        <w:t>Mutual funds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Valued at the net asset value of shares held by the Plan at year end in an active market. These funds are required to publish their daily net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asset value (“NAV”) and to transact at that price. The mutual funds held by the Plan are deemed to be actively traded.</w:t>
      </w:r>
    </w:p>
    <w:p>
      <w:pPr>
        <w:spacing w:after="0" w:line="123"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5"/>
          <w:szCs w:val="15"/>
          <w:i w:val="1"/>
          <w:iCs w:val="1"/>
          <w:u w:val="single" w:color="auto"/>
          <w:color w:val="auto"/>
        </w:rPr>
        <w:t>Common collective trust fund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Valued at the net asset value of units of the collective trust. The net asset value is used as a practical expedient to estimate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fair value. This practical expedient would not be used if it is determined to be probable that the fund will sell the investment for an amount different from the reported net asset value. Participant transactions (purchases and sales) may occur daily. If the Plan initiates a full redemption of the collective trust, the issuer reserves the right to temporarily delay withdrawal from the trust in order to ensure that securities liquidations will be carried out in an orderly business manner.</w:t>
      </w:r>
    </w:p>
    <w:p>
      <w:pPr>
        <w:spacing w:after="0" w:line="148" w:lineRule="exact"/>
        <w:rPr>
          <w:sz w:val="20"/>
          <w:szCs w:val="20"/>
          <w:color w:val="auto"/>
        </w:rPr>
      </w:pPr>
    </w:p>
    <w:p>
      <w:pPr>
        <w:ind w:left="880"/>
        <w:spacing w:after="0" w:line="268" w:lineRule="auto"/>
        <w:rPr>
          <w:sz w:val="20"/>
          <w:szCs w:val="20"/>
          <w:color w:val="auto"/>
        </w:rPr>
      </w:pPr>
      <w:r>
        <w:rPr>
          <w:rFonts w:ascii="Times New Roman" w:cs="Times New Roman" w:eastAsia="Times New Roman" w:hAnsi="Times New Roman"/>
          <w:sz w:val="15"/>
          <w:szCs w:val="15"/>
          <w:i w:val="1"/>
          <w:iCs w:val="1"/>
          <w:u w:val="single" w:color="auto"/>
          <w:color w:val="auto"/>
        </w:rPr>
        <w:t>Pooled separate accounts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Valued at the net asset value of the funds as a practical expedient to estimate fair value. The NAV is based on the fair value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underlying securities held by the separate account, less liabilities, divided by the number of units outstanding. This practical expedient would not be used if it is determined to be probable that the fund will sell the investment for an amount different from the reported net asset value. The Capital Group EuroPacific Growth Pooled Separate Account invests exclusively in the Capital Group EuroPacific Growth Trust, a common collective trust. The fund seeks long-term capital appreciation by investing primarily in equity securities of companies located in developed and emerging markets outside the United States, with a</w:t>
      </w: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360"/>
          </w:cols>
          <w:pgMar w:left="320" w:top="434" w:right="1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7" w:lineRule="exact"/>
        <w:rPr>
          <w:sz w:val="20"/>
          <w:szCs w:val="20"/>
          <w:color w:val="auto"/>
        </w:rPr>
      </w:pPr>
    </w:p>
    <w:p>
      <w:pPr>
        <w:ind w:left="880"/>
        <w:spacing w:after="0" w:line="277" w:lineRule="auto"/>
        <w:rPr>
          <w:sz w:val="20"/>
          <w:szCs w:val="20"/>
          <w:color w:val="auto"/>
        </w:rPr>
      </w:pPr>
      <w:r>
        <w:rPr>
          <w:rFonts w:ascii="Times New Roman" w:cs="Times New Roman" w:eastAsia="Times New Roman" w:hAnsi="Times New Roman"/>
          <w:sz w:val="15"/>
          <w:szCs w:val="15"/>
          <w:color w:val="auto"/>
        </w:rPr>
        <w:t>diversified approach across countries, sectors, and industries. The Putnam U.S. Large Cap Value Fund (IS Platform) is a pooled separate account advised by Putnam Investments. The fund’s objective is long-term capital appreciation through investment in a diversified portfolio of primarily large-capitalization U.S. equity securities selected using a value-oriented investment approach.</w:t>
      </w:r>
    </w:p>
    <w:p>
      <w:pPr>
        <w:spacing w:after="0" w:line="146" w:lineRule="exact"/>
        <w:rPr>
          <w:sz w:val="20"/>
          <w:szCs w:val="20"/>
          <w:color w:val="auto"/>
        </w:rPr>
      </w:pPr>
    </w:p>
    <w:p>
      <w:pPr>
        <w:ind w:left="880" w:right="140"/>
        <w:spacing w:after="0" w:line="271" w:lineRule="auto"/>
        <w:rPr>
          <w:sz w:val="20"/>
          <w:szCs w:val="20"/>
          <w:color w:val="auto"/>
        </w:rPr>
      </w:pPr>
      <w:r>
        <w:rPr>
          <w:rFonts w:ascii="Times New Roman" w:cs="Times New Roman" w:eastAsia="Times New Roman" w:hAnsi="Times New Roman"/>
          <w:sz w:val="15"/>
          <w:szCs w:val="15"/>
          <w:color w:val="auto"/>
        </w:rPr>
        <w:t>The methods described above may produce a fair value calculation that may not be indicative of net realizable value or reflective of future fair values. Furthermore, while the Plan’s management believes its valuation methods are appropriate and consistent with other market participants, the use of different methodologies or assumptions to determine fair value of certain financial instruments could result in a different fair value measurement at the reporting date.</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The following table sets forth by level, within the fair value hierarchy, the Plan’s assets at fair value as of December 31, 2025:</w:t>
      </w:r>
    </w:p>
    <w:p>
      <w:pPr>
        <w:spacing w:after="0" w:line="215"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30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Mutual funds</w:t>
            </w:r>
          </w:p>
        </w:tc>
        <w:tc>
          <w:tcPr>
            <w:tcW w:w="16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$425,244,904</w:t>
            </w: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 — </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$425,244,904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1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19,837,600</w:t>
            </w:r>
          </w:p>
        </w:tc>
        <w:tc>
          <w:tcPr>
            <w:tcW w:w="2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19,837,600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 in the fair value hierarchy</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$445,082,504</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$445,082,504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Investments measured at Net Asset Value (NAV)*</w:t>
            </w:r>
          </w:p>
        </w:tc>
        <w:tc>
          <w:tcPr>
            <w:tcW w:w="1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44,188,270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445,082,504</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 </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 </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489,270,774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20" w:type="dxa"/>
            <w:vAlign w:val="bottom"/>
            <w:vMerge w:val="restart"/>
          </w:tcPr>
          <w:p>
            <w:pPr>
              <w:jc w:val="right"/>
              <w:ind w:right="803"/>
              <w:spacing w:after="0"/>
              <w:rPr>
                <w:sz w:val="20"/>
                <w:szCs w:val="20"/>
                <w:color w:val="auto"/>
              </w:rPr>
            </w:pPr>
            <w:r>
              <w:rPr>
                <w:rFonts w:ascii="Times New Roman" w:cs="Times New Roman" w:eastAsia="Times New Roman" w:hAnsi="Times New Roman"/>
                <w:sz w:val="15"/>
                <w:szCs w:val="15"/>
                <w:color w:val="auto"/>
              </w:rPr>
              <w:t>12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34" w:right="1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The following table sets forth by level, within the fair value hierarchy, the Plan’s assets at fair value as of December 31, 2024:</w:t>
      </w:r>
    </w:p>
    <w:p>
      <w:pPr>
        <w:spacing w:after="0" w:line="215"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30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30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7"/>
        </w:trPr>
        <w:tc>
          <w:tcPr>
            <w:tcW w:w="20" w:type="dxa"/>
            <w:vAlign w:val="bottom"/>
          </w:tcPr>
          <w:p>
            <w:pPr>
              <w:spacing w:after="0"/>
              <w:rPr>
                <w:sz w:val="15"/>
                <w:szCs w:val="15"/>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Mutual funds</w:t>
            </w:r>
          </w:p>
        </w:tc>
        <w:tc>
          <w:tcPr>
            <w:tcW w:w="1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$395,783,492</w:t>
            </w: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88"/>
              </w:rPr>
              <w:t>— </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$395,783,492</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1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25,464,294</w:t>
            </w:r>
          </w:p>
        </w:tc>
        <w:tc>
          <w:tcPr>
            <w:tcW w:w="2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88"/>
              </w:rPr>
              <w:t>— </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25,464,294</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 in the fair value hierarchy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$421,247,786</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88"/>
              </w:rPr>
              <w:t>— </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$421,247,786</w:t>
            </w: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Investments measured at Net Asset Value (NAV)*</w:t>
            </w:r>
          </w:p>
        </w:tc>
        <w:tc>
          <w:tcPr>
            <w:tcW w:w="1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15,148,553</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421,247,786</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436,396,339</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1260" w:right="400" w:hanging="373"/>
        <w:spacing w:after="0" w:line="277" w:lineRule="auto"/>
        <w:tabs>
          <w:tab w:leader="none" w:pos="12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investments that are measured at fair value using the net asset value per share (or its equivalent) practical expedient have not been categorized in the fair value hierarchy. The fair value amounts presented in these tables are intended to permit reconciliation of the fair value hierarchy to the amounts presented in the Statements of Net Assets Available for Benefits.</w:t>
      </w:r>
    </w:p>
    <w:p>
      <w:pPr>
        <w:spacing w:after="0" w:line="146" w:lineRule="exact"/>
        <w:rPr>
          <w:sz w:val="20"/>
          <w:szCs w:val="20"/>
          <w:color w:val="auto"/>
        </w:rPr>
      </w:pPr>
    </w:p>
    <w:p>
      <w:pPr>
        <w:ind w:left="880" w:right="320"/>
        <w:spacing w:after="0" w:line="296" w:lineRule="auto"/>
        <w:rPr>
          <w:sz w:val="20"/>
          <w:szCs w:val="20"/>
          <w:color w:val="auto"/>
        </w:rPr>
      </w:pPr>
      <w:r>
        <w:rPr>
          <w:rFonts w:ascii="Times New Roman" w:cs="Times New Roman" w:eastAsia="Times New Roman" w:hAnsi="Times New Roman"/>
          <w:sz w:val="15"/>
          <w:szCs w:val="15"/>
          <w:color w:val="auto"/>
        </w:rPr>
        <w:t>The following table summarizes investments measured at fair value based on net asset value (“NAV”) per share as of December 31, 2025 and 2024, respectively.</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Redemption</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2"/>
                <w:szCs w:val="12"/>
                <w:color w:val="auto"/>
              </w:rPr>
              <w:t>Fair Value</w:t>
            </w:r>
          </w:p>
        </w:tc>
        <w:tc>
          <w:tcPr>
            <w:tcW w:w="60" w:type="dxa"/>
            <w:vAlign w:val="bottom"/>
          </w:tcPr>
          <w:p>
            <w:pPr>
              <w:spacing w:after="0"/>
              <w:rPr>
                <w:sz w:val="11"/>
                <w:szCs w:val="11"/>
                <w:color w:val="auto"/>
              </w:rPr>
            </w:pPr>
          </w:p>
        </w:tc>
        <w:tc>
          <w:tcPr>
            <w:tcW w:w="1420" w:type="dxa"/>
            <w:vAlign w:val="bottom"/>
            <w:vMerge w:val="restart"/>
          </w:tcPr>
          <w:p>
            <w:pPr>
              <w:jc w:val="right"/>
              <w:ind w:right="366"/>
              <w:spacing w:after="0"/>
              <w:rPr>
                <w:sz w:val="20"/>
                <w:szCs w:val="20"/>
                <w:color w:val="auto"/>
              </w:rPr>
            </w:pPr>
            <w:r>
              <w:rPr>
                <w:rFonts w:ascii="Times New Roman" w:cs="Times New Roman" w:eastAsia="Times New Roman" w:hAnsi="Times New Roman"/>
                <w:sz w:val="12"/>
                <w:szCs w:val="12"/>
                <w:color w:val="auto"/>
              </w:rPr>
              <w:t>Fair Value</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Unfunded</w:t>
            </w:r>
          </w:p>
        </w:tc>
        <w:tc>
          <w:tcPr>
            <w:tcW w:w="15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Frequency</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Redemption</w:t>
            </w:r>
          </w:p>
        </w:tc>
        <w:tc>
          <w:tcPr>
            <w:tcW w:w="0" w:type="dxa"/>
            <w:vAlign w:val="bottom"/>
          </w:tcPr>
          <w:p>
            <w:pPr>
              <w:spacing w:after="0"/>
              <w:rPr>
                <w:sz w:val="1"/>
                <w:szCs w:val="1"/>
                <w:color w:val="auto"/>
              </w:rPr>
            </w:pPr>
          </w:p>
        </w:tc>
      </w:tr>
      <w:tr>
        <w:trPr>
          <w:trHeight w:val="128"/>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Description</w:t>
            </w:r>
          </w:p>
        </w:tc>
        <w:tc>
          <w:tcPr>
            <w:tcW w:w="14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(if currently</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gridSpan w:val="2"/>
            <w:vMerge w:val="continue"/>
          </w:tcPr>
          <w:p>
            <w:pPr>
              <w:spacing w:after="0"/>
              <w:rPr>
                <w:sz w:val="14"/>
                <w:szCs w:val="14"/>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2"/>
                <w:szCs w:val="12"/>
                <w:color w:val="auto"/>
              </w:rPr>
              <w:t>12/31/2025</w:t>
            </w:r>
          </w:p>
        </w:tc>
        <w:tc>
          <w:tcPr>
            <w:tcW w:w="20" w:type="dxa"/>
            <w:vAlign w:val="bottom"/>
          </w:tcPr>
          <w:p>
            <w:pPr>
              <w:spacing w:after="0"/>
              <w:rPr>
                <w:sz w:val="14"/>
                <w:szCs w:val="14"/>
                <w:color w:val="auto"/>
              </w:rPr>
            </w:pPr>
          </w:p>
        </w:tc>
        <w:tc>
          <w:tcPr>
            <w:tcW w:w="1480" w:type="dxa"/>
            <w:vAlign w:val="bottom"/>
            <w:gridSpan w:val="2"/>
          </w:tcPr>
          <w:p>
            <w:pPr>
              <w:jc w:val="right"/>
              <w:ind w:right="346"/>
              <w:spacing w:after="0"/>
              <w:rPr>
                <w:sz w:val="20"/>
                <w:szCs w:val="20"/>
                <w:color w:val="auto"/>
              </w:rPr>
            </w:pPr>
            <w:r>
              <w:rPr>
                <w:rFonts w:ascii="Times New Roman" w:cs="Times New Roman" w:eastAsia="Times New Roman" w:hAnsi="Times New Roman"/>
                <w:sz w:val="12"/>
                <w:szCs w:val="12"/>
                <w:color w:val="auto"/>
              </w:rPr>
              <w:t>12/31/2024</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Commitments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eligible)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Notice Period</w:t>
            </w:r>
          </w:p>
        </w:tc>
        <w:tc>
          <w:tcPr>
            <w:tcW w:w="0" w:type="dxa"/>
            <w:vAlign w:val="bottom"/>
          </w:tcPr>
          <w:p>
            <w:pPr>
              <w:spacing w:after="0"/>
              <w:rPr>
                <w:sz w:val="1"/>
                <w:szCs w:val="1"/>
                <w:color w:val="auto"/>
              </w:rPr>
            </w:pPr>
          </w:p>
        </w:tc>
      </w:tr>
      <w:tr>
        <w:trPr>
          <w:trHeight w:val="154"/>
        </w:trPr>
        <w:tc>
          <w:tcPr>
            <w:tcW w:w="58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Common</w:t>
            </w:r>
          </w:p>
        </w:tc>
        <w:tc>
          <w:tcPr>
            <w:tcW w:w="1520" w:type="dxa"/>
            <w:vAlign w:val="bottom"/>
          </w:tcPr>
          <w:p>
            <w:pPr>
              <w:ind w:left="40"/>
              <w:spacing w:after="0" w:line="154" w:lineRule="exact"/>
              <w:rPr>
                <w:sz w:val="20"/>
                <w:szCs w:val="20"/>
                <w:color w:val="auto"/>
              </w:rPr>
            </w:pPr>
            <w:r>
              <w:rPr>
                <w:rFonts w:ascii="Times New Roman" w:cs="Times New Roman" w:eastAsia="Times New Roman" w:hAnsi="Times New Roman"/>
                <w:sz w:val="15"/>
                <w:szCs w:val="15"/>
                <w:color w:val="auto"/>
              </w:rPr>
              <w:t>Collective Trust Fund</w:t>
            </w:r>
          </w:p>
        </w:tc>
        <w:tc>
          <w:tcPr>
            <w:tcW w:w="14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$14,402,226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$15,148,553</w:t>
            </w:r>
          </w:p>
        </w:tc>
        <w:tc>
          <w:tcPr>
            <w:tcW w:w="10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97"/>
              </w:rPr>
              <w:t>n/a</w:t>
            </w:r>
          </w:p>
        </w:tc>
        <w:tc>
          <w:tcPr>
            <w:tcW w:w="8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Daily</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30 days</w:t>
            </w:r>
          </w:p>
        </w:tc>
        <w:tc>
          <w:tcPr>
            <w:tcW w:w="0" w:type="dxa"/>
            <w:vAlign w:val="bottom"/>
          </w:tcPr>
          <w:p>
            <w:pPr>
              <w:spacing w:after="0"/>
              <w:rPr>
                <w:sz w:val="1"/>
                <w:szCs w:val="1"/>
                <w:color w:val="auto"/>
              </w:rPr>
            </w:pPr>
          </w:p>
        </w:tc>
      </w:tr>
      <w:tr>
        <w:trPr>
          <w:trHeight w:val="200"/>
        </w:trPr>
        <w:tc>
          <w:tcPr>
            <w:tcW w:w="2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Pooled Separate Accounts</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29,786,044</w:t>
            </w:r>
          </w:p>
        </w:tc>
        <w:tc>
          <w:tcPr>
            <w:tcW w:w="6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n/a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 days</w:t>
            </w:r>
          </w:p>
        </w:tc>
        <w:tc>
          <w:tcPr>
            <w:tcW w:w="0" w:type="dxa"/>
            <w:vAlign w:val="bottom"/>
          </w:tcPr>
          <w:p>
            <w:pPr>
              <w:spacing w:after="0"/>
              <w:rPr>
                <w:sz w:val="1"/>
                <w:szCs w:val="1"/>
                <w:color w:val="auto"/>
              </w:rPr>
            </w:pPr>
          </w:p>
        </w:tc>
      </w:tr>
      <w:tr>
        <w:trPr>
          <w:trHeight w:val="189"/>
        </w:trPr>
        <w:tc>
          <w:tcPr>
            <w:tcW w:w="2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$44,188,270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$15,148,553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34" w:right="1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D - FEDERAL INCOME TAX STATUS</w:t>
      </w:r>
    </w:p>
    <w:p>
      <w:pPr>
        <w:spacing w:after="0" w:line="110" w:lineRule="exact"/>
        <w:rPr>
          <w:sz w:val="20"/>
          <w:szCs w:val="20"/>
          <w:color w:val="auto"/>
        </w:rPr>
      </w:pPr>
    </w:p>
    <w:p>
      <w:pPr>
        <w:ind w:left="880"/>
        <w:spacing w:after="0" w:line="268" w:lineRule="auto"/>
        <w:rPr>
          <w:sz w:val="20"/>
          <w:szCs w:val="20"/>
          <w:color w:val="auto"/>
        </w:rPr>
      </w:pPr>
      <w:r>
        <w:rPr>
          <w:rFonts w:ascii="Times New Roman" w:cs="Times New Roman" w:eastAsia="Times New Roman" w:hAnsi="Times New Roman"/>
          <w:sz w:val="15"/>
          <w:szCs w:val="15"/>
          <w:color w:val="auto"/>
        </w:rPr>
        <w:t>The Company has adopted a non-standardized pre-approved profit-sharing plan document sponsored by Great West Trust Company that has received an opinion letter from the IRS dated June 30, 2020, stating that the form of the pre-approved plan document was in compliance with the applicable requirements of the Code. Although the Plan has been amended since adopting the pre-approved plan document, the Plan administrator believes that the Plan is designed, and is currently being operated, in compliance with the applicable requirements of the Code and, therefore, believes that the Plan is qualified, and the related trust is tax-exempt.</w:t>
      </w:r>
    </w:p>
    <w:p>
      <w:pPr>
        <w:spacing w:after="0" w:line="152" w:lineRule="exact"/>
        <w:rPr>
          <w:sz w:val="20"/>
          <w:szCs w:val="20"/>
          <w:color w:val="auto"/>
        </w:rPr>
      </w:pPr>
    </w:p>
    <w:p>
      <w:pPr>
        <w:jc w:val="both"/>
        <w:ind w:left="880" w:right="500"/>
        <w:spacing w:after="0" w:line="277" w:lineRule="auto"/>
        <w:rPr>
          <w:sz w:val="20"/>
          <w:szCs w:val="20"/>
          <w:color w:val="auto"/>
        </w:rPr>
      </w:pPr>
      <w:r>
        <w:rPr>
          <w:rFonts w:ascii="Times New Roman" w:cs="Times New Roman" w:eastAsia="Times New Roman" w:hAnsi="Times New Roman"/>
          <w:sz w:val="15"/>
          <w:szCs w:val="15"/>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E - RELATED PARTY AND PARTY-IN-INTEREST TRANSACTIONS</w:t>
      </w:r>
    </w:p>
    <w:p>
      <w:pPr>
        <w:spacing w:after="0" w:line="110" w:lineRule="exact"/>
        <w:rPr>
          <w:sz w:val="20"/>
          <w:szCs w:val="20"/>
          <w:color w:val="auto"/>
        </w:rPr>
      </w:pPr>
    </w:p>
    <w:p>
      <w:pPr>
        <w:jc w:val="both"/>
        <w:ind w:left="880" w:right="340"/>
        <w:spacing w:after="0" w:line="277" w:lineRule="auto"/>
        <w:rPr>
          <w:sz w:val="20"/>
          <w:szCs w:val="20"/>
          <w:color w:val="auto"/>
        </w:rPr>
      </w:pPr>
      <w:r>
        <w:rPr>
          <w:rFonts w:ascii="Times New Roman" w:cs="Times New Roman" w:eastAsia="Times New Roman" w:hAnsi="Times New Roman"/>
          <w:sz w:val="15"/>
          <w:szCs w:val="15"/>
          <w:color w:val="auto"/>
        </w:rPr>
        <w:t>Empower Trust Company is the trustee and custodian of the Plan for all Plan assets including those invested in the CoreCivic, Inc. common stock. Therefore, transactions with these parties qualify as party-in-interest transactions. The Plan also held notes receivable from participants which also qualify as party-in-interest transactions.</w:t>
      </w:r>
    </w:p>
    <w:p>
      <w:pPr>
        <w:spacing w:after="0" w:line="146" w:lineRule="exact"/>
        <w:rPr>
          <w:sz w:val="20"/>
          <w:szCs w:val="20"/>
          <w:color w:val="auto"/>
        </w:rPr>
      </w:pPr>
    </w:p>
    <w:p>
      <w:pPr>
        <w:ind w:left="880" w:right="40"/>
        <w:spacing w:after="0" w:line="275" w:lineRule="auto"/>
        <w:rPr>
          <w:sz w:val="20"/>
          <w:szCs w:val="20"/>
          <w:color w:val="auto"/>
        </w:rPr>
      </w:pPr>
      <w:r>
        <w:rPr>
          <w:rFonts w:ascii="Times New Roman" w:cs="Times New Roman" w:eastAsia="Times New Roman" w:hAnsi="Times New Roman"/>
          <w:sz w:val="15"/>
          <w:szCs w:val="15"/>
          <w:color w:val="auto"/>
        </w:rPr>
        <w:t>All transactions in the CoreCivic, Inc. common stock qualify as party-in-interest transactions because the Company is the plan sponsor. For the years 2025 and 2024, no dividends were paid. The Plan held 1,038,074.298694 and 1,171,310.698673 shares valued at $19,837,600 and $25,464,294 as of December 31, 2025 and 2024, respectively. For the year ended December 31, 2025, the Plan purchased 65,794.562369 shares and sold 199,030.962348 shares.</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F - LIMITATION ON CORECIVIC STOCK ELECTIONS AND TRANSFERS INTO CORECIVIC STOCK</w:t>
      </w:r>
    </w:p>
    <w:p>
      <w:pPr>
        <w:spacing w:after="0" w:line="110"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5"/>
          <w:szCs w:val="15"/>
          <w:color w:val="auto"/>
        </w:rPr>
        <w:t>The Plan Administrative Committee, with the approval of the CoreCivic Board of Directors, limits the percentage of new contributions that plan participants are permitted to invest in CoreCivic, Inc. common stock to ten percent (10%). Transfers into CoreCivic, Inc. common stock from the Plan’s other funds are also subject to the same limitation. Therefore, requests to transfer funds into CoreCivic, Inc. common stock are not permitted if, at the time of the transfer, the transfer would cause the participant’s CoreCivic, Inc. common stock balance to exceed 10% of the participant’s total plan balance.</w:t>
      </w: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300"/>
          </w:cols>
          <w:pgMar w:left="320" w:top="434"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DECEMBER 31, 2025 AND 2024</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G - DELINQUENT EMPLOYEE DEFERRAL TRANSMITTALS</w:t>
      </w:r>
    </w:p>
    <w:p>
      <w:pPr>
        <w:spacing w:after="0" w:line="110" w:lineRule="exact"/>
        <w:rPr>
          <w:sz w:val="20"/>
          <w:szCs w:val="20"/>
          <w:color w:val="auto"/>
        </w:rPr>
      </w:pPr>
    </w:p>
    <w:p>
      <w:pPr>
        <w:ind w:left="880"/>
        <w:spacing w:after="0" w:line="269" w:lineRule="auto"/>
        <w:rPr>
          <w:sz w:val="20"/>
          <w:szCs w:val="20"/>
          <w:color w:val="auto"/>
        </w:rPr>
      </w:pPr>
      <w:r>
        <w:rPr>
          <w:rFonts w:ascii="Times New Roman" w:cs="Times New Roman" w:eastAsia="Times New Roman" w:hAnsi="Times New Roman"/>
          <w:sz w:val="15"/>
          <w:szCs w:val="15"/>
          <w:color w:val="auto"/>
        </w:rPr>
        <w:t>During the year ended December 31, 2025 and 2024, the Company erroneously failed to remit certain employee deferrals and loan repayments totaling $3,803 and $1,783, respectively, to the Plan in the time period described in 29 CFR 2510.3-102. All contributions and loan repayments have since been remitted to the Plan. For the amounts related to 2025, the Company will make a corrective contribution for lost earnings and complete the other corrections needed for the late contributions during 2026. The Company made a corrective contribution for lost earnings for the amounts related to 2024 in 2025.</w:t>
      </w:r>
    </w:p>
    <w:p>
      <w:pPr>
        <w:spacing w:after="0" w:line="200" w:lineRule="exact"/>
        <w:rPr>
          <w:sz w:val="20"/>
          <w:szCs w:val="20"/>
          <w:color w:val="auto"/>
        </w:rPr>
      </w:pPr>
    </w:p>
    <w:p>
      <w:pPr>
        <w:spacing w:after="0" w:line="2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H - SECURE Act 2.0</w:t>
      </w:r>
    </w:p>
    <w:p>
      <w:pPr>
        <w:spacing w:after="0" w:line="110" w:lineRule="exact"/>
        <w:rPr>
          <w:sz w:val="20"/>
          <w:szCs w:val="20"/>
          <w:color w:val="auto"/>
        </w:rPr>
      </w:pPr>
    </w:p>
    <w:p>
      <w:pPr>
        <w:ind w:left="880" w:right="220"/>
        <w:spacing w:after="0" w:line="271" w:lineRule="auto"/>
        <w:rPr>
          <w:sz w:val="20"/>
          <w:szCs w:val="20"/>
          <w:color w:val="auto"/>
        </w:rPr>
      </w:pPr>
      <w:r>
        <w:rPr>
          <w:rFonts w:ascii="Times New Roman" w:cs="Times New Roman" w:eastAsia="Times New Roman" w:hAnsi="Times New Roman"/>
          <w:sz w:val="15"/>
          <w:szCs w:val="15"/>
          <w:color w:val="auto"/>
        </w:rPr>
        <w:t>On December 23, 2022, Congress passed the Consolidated Appropriations Act of 2023 which included SECURE Act 2.0. SECURE Act 2.0 contains over 90 new retirement provisions, with varying effective dates through 2027. Since SECURE Act 2.0 provisions include both required and optional elements, the plan administrator will determine the optional provisions to elect and amend the Plan document accordingly. Most of the significant provisions became effective in 2024 and thereafter. Accordingly, there is no material impact to the Plan’s 2025 financial statements.</w:t>
      </w:r>
    </w:p>
    <w:p>
      <w:pPr>
        <w:spacing w:after="0" w:line="2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NOTE I - SUBSEQUENT EVENTS</w:t>
      </w:r>
    </w:p>
    <w:p>
      <w:pPr>
        <w:spacing w:after="0" w:line="110" w:lineRule="exact"/>
        <w:rPr>
          <w:sz w:val="20"/>
          <w:szCs w:val="20"/>
          <w:color w:val="auto"/>
        </w:rPr>
      </w:pPr>
    </w:p>
    <w:p>
      <w:pPr>
        <w:jc w:val="both"/>
        <w:ind w:left="880" w:right="420"/>
        <w:spacing w:after="0" w:line="277" w:lineRule="auto"/>
        <w:rPr>
          <w:sz w:val="20"/>
          <w:szCs w:val="20"/>
          <w:color w:val="auto"/>
        </w:rPr>
      </w:pPr>
      <w:r>
        <w:rPr>
          <w:rFonts w:ascii="Times New Roman" w:cs="Times New Roman" w:eastAsia="Times New Roman" w:hAnsi="Times New Roman"/>
          <w:sz w:val="15"/>
          <w:szCs w:val="15"/>
          <w:color w:val="auto"/>
        </w:rPr>
        <w:t>The Plan has evaluated, for consideration of recognition or disclosure, subsequent events that have occurred through the date of issuance, and has determined that no significant events occurred after December 31, 2025, but prior to the issuance of these financial statements, that would have a material impact on its financial statements.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320"/>
          </w:cols>
          <w:pgMar w:left="320" w:top="434"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SUPPLEMENTAL SCHEDULES</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39"/>
          </w:cols>
          <w:pgMar w:left="320" w:top="43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SCHEDULE H, LINE 4(a) - SCHEDULE OF DELINQUENT PARTICIPANT CONTRIBUTIONS</w:t>
      </w:r>
    </w:p>
    <w:p>
      <w:pPr>
        <w:spacing w:after="0" w:line="1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EIN 62-1806755, Plan 001</w:t>
      </w:r>
    </w:p>
    <w:p>
      <w:pPr>
        <w:spacing w:after="0" w:line="1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6"/>
            <w:vMerge w:val="restart"/>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Total That Constitute Nonexempt Prohibited</w:t>
            </w:r>
          </w:p>
        </w:tc>
        <w:tc>
          <w:tcPr>
            <w:tcW w:w="46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Total Fully</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gridSpan w:val="2"/>
            <w:vMerge w:val="restart"/>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Corrected</w:t>
            </w:r>
          </w:p>
        </w:tc>
        <w:tc>
          <w:tcPr>
            <w:tcW w:w="0" w:type="dxa"/>
            <w:vAlign w:val="bottom"/>
          </w:tcPr>
          <w:p>
            <w:pPr>
              <w:spacing w:after="0"/>
              <w:rPr>
                <w:sz w:val="1"/>
                <w:szCs w:val="1"/>
                <w:color w:val="auto"/>
              </w:rPr>
            </w:pPr>
          </w:p>
        </w:tc>
      </w:tr>
      <w:tr>
        <w:trPr>
          <w:trHeight w:val="46"/>
        </w:trPr>
        <w:tc>
          <w:tcPr>
            <w:tcW w:w="27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gridSpan w:val="3"/>
            <w:vMerge w:val="restart"/>
          </w:tcPr>
          <w:p>
            <w:pPr>
              <w:jc w:val="center"/>
              <w:ind w:right="440"/>
              <w:spacing w:after="0" w:line="130"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2"/>
                <w:szCs w:val="12"/>
                <w:b w:val="1"/>
                <w:bCs w:val="1"/>
                <w:color w:val="auto"/>
              </w:rPr>
              <w:t>Under</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Voluntary</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Contributions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Contributions</w:t>
            </w:r>
          </w:p>
        </w:tc>
        <w:tc>
          <w:tcPr>
            <w:tcW w:w="460" w:type="dxa"/>
            <w:vAlign w:val="bottom"/>
          </w:tcPr>
          <w:p>
            <w:pPr>
              <w:spacing w:after="0"/>
              <w:rPr>
                <w:sz w:val="11"/>
                <w:szCs w:val="11"/>
                <w:color w:val="auto"/>
              </w:rPr>
            </w:pPr>
          </w:p>
        </w:tc>
        <w:tc>
          <w:tcPr>
            <w:tcW w:w="68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Fiduciary</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Correction</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Corrected</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Pending</w:t>
            </w:r>
          </w:p>
        </w:tc>
        <w:tc>
          <w:tcPr>
            <w:tcW w:w="460" w:type="dxa"/>
            <w:vAlign w:val="bottom"/>
          </w:tcPr>
          <w:p>
            <w:pPr>
              <w:spacing w:after="0"/>
              <w:rPr>
                <w:sz w:val="11"/>
                <w:szCs w:val="11"/>
                <w:color w:val="auto"/>
              </w:rPr>
            </w:pPr>
          </w:p>
        </w:tc>
        <w:tc>
          <w:tcPr>
            <w:tcW w:w="68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Program</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Outside</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Correction in</w:t>
            </w:r>
          </w:p>
        </w:tc>
        <w:tc>
          <w:tcPr>
            <w:tcW w:w="460" w:type="dxa"/>
            <w:vAlign w:val="bottom"/>
          </w:tcPr>
          <w:p>
            <w:pPr>
              <w:spacing w:after="0"/>
              <w:rPr>
                <w:sz w:val="11"/>
                <w:szCs w:val="11"/>
                <w:color w:val="auto"/>
              </w:rPr>
            </w:pPr>
          </w:p>
        </w:tc>
        <w:tc>
          <w:tcPr>
            <w:tcW w:w="68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Contributions</w:t>
            </w:r>
          </w:p>
        </w:tc>
        <w:tc>
          <w:tcPr>
            <w:tcW w:w="80" w:type="dxa"/>
            <w:vAlign w:val="bottom"/>
          </w:tcPr>
          <w:p>
            <w:pPr>
              <w:spacing w:after="0"/>
              <w:rPr>
                <w:sz w:val="11"/>
                <w:szCs w:val="11"/>
                <w:color w:val="auto"/>
              </w:rPr>
            </w:pPr>
          </w:p>
        </w:tc>
        <w:tc>
          <w:tcPr>
            <w:tcW w:w="112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Voluntary</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Voluntary</w:t>
            </w:r>
          </w:p>
        </w:tc>
        <w:tc>
          <w:tcPr>
            <w:tcW w:w="460" w:type="dxa"/>
            <w:vAlign w:val="bottom"/>
          </w:tcPr>
          <w:p>
            <w:pPr>
              <w:spacing w:after="0"/>
              <w:rPr>
                <w:sz w:val="11"/>
                <w:szCs w:val="11"/>
                <w:color w:val="auto"/>
              </w:rPr>
            </w:pPr>
          </w:p>
        </w:tc>
        <w:tc>
          <w:tcPr>
            <w:tcW w:w="68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Prohibited</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rPr>
              <w:t>Fiduciary</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Fiduciary</w:t>
            </w:r>
          </w:p>
        </w:tc>
        <w:tc>
          <w:tcPr>
            <w:tcW w:w="460" w:type="dxa"/>
            <w:vAlign w:val="bottom"/>
          </w:tcPr>
          <w:p>
            <w:pPr>
              <w:spacing w:after="0"/>
              <w:rPr>
                <w:sz w:val="11"/>
                <w:szCs w:val="11"/>
                <w:color w:val="auto"/>
              </w:rPr>
            </w:pPr>
          </w:p>
        </w:tc>
        <w:tc>
          <w:tcPr>
            <w:tcW w:w="68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0" w:type="dxa"/>
            <w:vAlign w:val="bottom"/>
          </w:tcPr>
          <w:p>
            <w:pPr>
              <w:spacing w:after="0"/>
              <w:rPr>
                <w:sz w:val="1"/>
                <w:szCs w:val="1"/>
                <w:color w:val="auto"/>
              </w:rPr>
            </w:pPr>
          </w:p>
        </w:tc>
      </w:tr>
      <w:tr>
        <w:trPr>
          <w:trHeight w:val="12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Participant Contributions Transferred Late to Plan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Not</w:t>
            </w:r>
          </w:p>
        </w:tc>
        <w:tc>
          <w:tcPr>
            <w:tcW w:w="80" w:type="dxa"/>
            <w:vAlign w:val="bottom"/>
          </w:tcPr>
          <w:p>
            <w:pPr>
              <w:spacing w:after="0"/>
              <w:rPr>
                <w:sz w:val="11"/>
                <w:szCs w:val="11"/>
                <w:color w:val="auto"/>
              </w:rPr>
            </w:pPr>
          </w:p>
        </w:tc>
        <w:tc>
          <w:tcPr>
            <w:tcW w:w="112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Correction</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Correction</w:t>
            </w:r>
          </w:p>
        </w:tc>
        <w:tc>
          <w:tcPr>
            <w:tcW w:w="460" w:type="dxa"/>
            <w:vAlign w:val="bottom"/>
          </w:tcPr>
          <w:p>
            <w:pPr>
              <w:spacing w:after="0"/>
              <w:rPr>
                <w:sz w:val="11"/>
                <w:szCs w:val="11"/>
                <w:color w:val="auto"/>
              </w:rPr>
            </w:pPr>
          </w:p>
        </w:tc>
        <w:tc>
          <w:tcPr>
            <w:tcW w:w="6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Exemption</w:t>
            </w:r>
          </w:p>
        </w:tc>
        <w:tc>
          <w:tcPr>
            <w:tcW w:w="0" w:type="dxa"/>
            <w:vAlign w:val="bottom"/>
          </w:tcPr>
          <w:p>
            <w:pPr>
              <w:spacing w:after="0"/>
              <w:rPr>
                <w:sz w:val="1"/>
                <w:szCs w:val="1"/>
                <w:color w:val="auto"/>
              </w:rPr>
            </w:pPr>
          </w:p>
        </w:tc>
      </w:tr>
      <w:tr>
        <w:trPr>
          <w:trHeight w:val="138"/>
        </w:trPr>
        <w:tc>
          <w:tcPr>
            <w:tcW w:w="452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Corrected</w:t>
            </w:r>
          </w:p>
        </w:tc>
        <w:tc>
          <w:tcPr>
            <w:tcW w:w="80" w:type="dxa"/>
            <w:vAlign w:val="bottom"/>
          </w:tcPr>
          <w:p>
            <w:pPr>
              <w:spacing w:after="0"/>
              <w:rPr>
                <w:sz w:val="11"/>
                <w:szCs w:val="11"/>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Program</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Program</w:t>
            </w:r>
          </w:p>
        </w:tc>
        <w:tc>
          <w:tcPr>
            <w:tcW w:w="1100" w:type="dxa"/>
            <w:vAlign w:val="bottom"/>
            <w:gridSpan w:val="2"/>
          </w:tcPr>
          <w:p>
            <w:pPr>
              <w:jc w:val="center"/>
              <w:ind w:left="378"/>
              <w:spacing w:after="0"/>
              <w:rPr>
                <w:sz w:val="20"/>
                <w:szCs w:val="20"/>
                <w:color w:val="auto"/>
              </w:rPr>
            </w:pPr>
            <w:r>
              <w:rPr>
                <w:rFonts w:ascii="Times New Roman" w:cs="Times New Roman" w:eastAsia="Times New Roman" w:hAnsi="Times New Roman"/>
                <w:sz w:val="12"/>
                <w:szCs w:val="12"/>
                <w:b w:val="1"/>
                <w:bCs w:val="1"/>
                <w:color w:val="auto"/>
              </w:rPr>
              <w:t>2002-51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Check Here If Late Participant Loan Repayments Are Included: x</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During the year ended December 31, 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1,783</w:t>
            </w:r>
          </w:p>
        </w:tc>
        <w:tc>
          <w:tcPr>
            <w:tcW w:w="74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88"/>
              </w:rPr>
              <w:t>— </w:t>
            </w:r>
          </w:p>
        </w:tc>
        <w:tc>
          <w:tcPr>
            <w:tcW w:w="46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During the year ended December 31, 2025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3,803</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w w:val="88"/>
              </w:rPr>
              <w:t>— </w:t>
            </w:r>
          </w:p>
        </w:tc>
        <w:tc>
          <w:tcPr>
            <w:tcW w:w="4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313"/>
        </w:trPr>
        <w:tc>
          <w:tcPr>
            <w:tcW w:w="2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34"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8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5"/>
          <w:szCs w:val="15"/>
          <w:b w:val="1"/>
          <w:bCs w:val="1"/>
          <w:color w:val="auto"/>
        </w:rPr>
        <w:t>CORECIVIC 401(k) PLAN</w:t>
      </w:r>
    </w:p>
    <w:p>
      <w:pPr>
        <w:spacing w:after="0" w:line="3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5"/>
          <w:szCs w:val="15"/>
          <w:b w:val="1"/>
          <w:bCs w:val="1"/>
          <w:color w:val="auto"/>
        </w:rPr>
        <w:t>SCHEDULE H, LINE 4(i) - SCHEDULE OF ASSETS (HELD AT END OF YEAR)</w:t>
      </w:r>
    </w:p>
    <w:p>
      <w:pPr>
        <w:spacing w:after="0" w:line="1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5"/>
          <w:szCs w:val="15"/>
          <w:b w:val="1"/>
          <w:bCs w:val="1"/>
          <w:color w:val="auto"/>
        </w:rPr>
        <w:t>EIN 62-1806755, Plan 001</w:t>
      </w:r>
    </w:p>
    <w:p>
      <w:pPr>
        <w:spacing w:after="0" w:line="1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7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7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Description of Investment, Including</w:t>
            </w:r>
          </w:p>
        </w:tc>
        <w:tc>
          <w:tcPr>
            <w:tcW w:w="0" w:type="dxa"/>
            <w:vAlign w:val="bottom"/>
          </w:tcPr>
          <w:p>
            <w:pPr>
              <w:spacing w:after="0"/>
              <w:rPr>
                <w:sz w:val="1"/>
                <w:szCs w:val="1"/>
                <w:color w:val="auto"/>
              </w:rPr>
            </w:pPr>
          </w:p>
        </w:tc>
      </w:tr>
      <w:tr>
        <w:trPr>
          <w:trHeight w:val="128"/>
        </w:trPr>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80" w:type="dxa"/>
            <w:vAlign w:val="bottom"/>
          </w:tcPr>
          <w:p>
            <w:pPr>
              <w:spacing w:after="0"/>
              <w:rPr>
                <w:sz w:val="11"/>
                <w:szCs w:val="11"/>
                <w:color w:val="auto"/>
              </w:rPr>
            </w:pPr>
          </w:p>
        </w:tc>
        <w:tc>
          <w:tcPr>
            <w:tcW w:w="18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Identity of Issuer, Borrower,</w:t>
            </w:r>
          </w:p>
        </w:tc>
        <w:tc>
          <w:tcPr>
            <w:tcW w:w="77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Maturity Date, Rate of Interest,</w:t>
            </w:r>
          </w:p>
        </w:tc>
        <w:tc>
          <w:tcPr>
            <w:tcW w:w="0" w:type="dxa"/>
            <w:vAlign w:val="bottom"/>
          </w:tcPr>
          <w:p>
            <w:pPr>
              <w:spacing w:after="0"/>
              <w:rPr>
                <w:sz w:val="1"/>
                <w:szCs w:val="1"/>
                <w:color w:val="auto"/>
              </w:rPr>
            </w:pPr>
          </w:p>
        </w:tc>
      </w:tr>
      <w:tr>
        <w:trPr>
          <w:trHeight w:val="153"/>
        </w:trPr>
        <w:tc>
          <w:tcPr>
            <w:tcW w:w="1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Lessor, or Similar Party</w:t>
            </w:r>
          </w:p>
        </w:tc>
        <w:tc>
          <w:tcPr>
            <w:tcW w:w="80" w:type="dxa"/>
            <w:vAlign w:val="bottom"/>
          </w:tcPr>
          <w:p>
            <w:pPr>
              <w:spacing w:after="0"/>
              <w:rPr>
                <w:sz w:val="13"/>
                <w:szCs w:val="13"/>
                <w:color w:val="auto"/>
              </w:rPr>
            </w:pPr>
          </w:p>
        </w:tc>
        <w:tc>
          <w:tcPr>
            <w:tcW w:w="7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Collateral, Par, or Maturity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w:t>
      </w:r>
    </w:p>
    <w:p>
      <w:pPr>
        <w:spacing w:after="0" w:line="31" w:lineRule="exact"/>
        <w:rPr>
          <w:sz w:val="20"/>
          <w:szCs w:val="20"/>
          <w:color w:val="auto"/>
        </w:rPr>
      </w:pPr>
    </w:p>
    <w:p>
      <w:pPr>
        <w:sectPr>
          <w:pgSz w:w="11900" w:h="16838" w:orient="portrait"/>
          <w:cols w:equalWidth="0" w:num="2">
            <w:col w:w="10720" w:space="80"/>
            <w:col w:w="540"/>
          </w:cols>
          <w:pgMar w:left="320" w:top="434" w:right="239" w:bottom="1440" w:gutter="0" w:footer="0" w:header="0"/>
        </w:sectPr>
      </w:pPr>
    </w:p>
    <w:tbl>
      <w:tblPr>
        <w:tblLayout w:type="fixed"/>
        <w:tblInd w:w="880" w:type="dxa"/>
        <w:tblCellMar>
          <w:top w:w="0" w:type="dxa"/>
          <w:left w:w="0" w:type="dxa"/>
          <w:bottom w:w="0" w:type="dxa"/>
          <w:right w:w="0" w:type="dxa"/>
        </w:tblCellMar>
      </w:tblPr>
      <w:tr>
        <w:trPr>
          <w:trHeight w:val="20"/>
        </w:trPr>
        <w:tc>
          <w:tcPr>
            <w:tcW w:w="1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46"/>
        </w:trPr>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ind w:left="80"/>
              <w:spacing w:after="0" w:line="146" w:lineRule="exact"/>
              <w:rPr>
                <w:sz w:val="20"/>
                <w:szCs w:val="20"/>
                <w:color w:val="auto"/>
              </w:rPr>
            </w:pPr>
            <w:r>
              <w:rPr>
                <w:rFonts w:ascii="Times New Roman" w:cs="Times New Roman" w:eastAsia="Times New Roman" w:hAnsi="Times New Roman"/>
                <w:sz w:val="15"/>
                <w:szCs w:val="15"/>
                <w:color w:val="auto"/>
              </w:rPr>
              <w:t>Federated Hermes</w:t>
            </w:r>
          </w:p>
        </w:tc>
        <w:tc>
          <w:tcPr>
            <w:tcW w:w="790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5"/>
                <w:szCs w:val="15"/>
                <w:color w:val="auto"/>
              </w:rPr>
              <w:t>US Treasury Cash Reserves IS</w:t>
            </w:r>
          </w:p>
        </w:tc>
        <w:tc>
          <w:tcPr>
            <w:tcW w:w="540" w:type="dxa"/>
            <w:vAlign w:val="bottom"/>
            <w:gridSpan w:val="3"/>
            <w:shd w:val="clear" w:color="auto" w:fill="CCEEFF"/>
          </w:tcPr>
          <w:p>
            <w:pPr>
              <w:ind w:left="160"/>
              <w:spacing w:after="0" w:line="14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DFA</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US Targeted Value I</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Lord Abbett</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Short Duration Income R6</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The American Funds Group</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American Balanced R6</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Capital Group</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EuroPacific Growth SA</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Fidelity</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Advisor Equity Growth Z</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Vanguard Investment</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Institutional Index Fund</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Vanguard Investment</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Mid Cap Index Adm</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Vanguard Investment</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Small Cap Index Instl</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Vanguard Investment</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Explorer Adm</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JP Morgan</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Mid Cap Growth R6</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MFS</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Mid Cap Value R6</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BlackRock</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Lifepath Index Retirement K</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BlackRock</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Lifepath Index 2030 K</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BlackRock</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Lifepath Index 2040 K</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BlackRock</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Lifepath Index 2050 K</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BlackRock</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Lifepath Index 2060 K</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Putnam</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US Large Cap Value (IS Platform)</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Federated Hermes</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Return Bond Fund R6</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16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Morley Financial</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Stable Value Class 25-I</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6"/>
        </w:trPr>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CoreCivic, Inc.</w:t>
            </w: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CoreCivic, Inc. Common Stock</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Various plan participants</w:t>
            </w:r>
          </w:p>
        </w:tc>
        <w:tc>
          <w:tcPr>
            <w:tcW w:w="79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Notes receivable from participants (interest rate ranged between 4.25% and 9.50% with varying maturity dates through 2030)</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-0-</w:t>
            </w:r>
          </w:p>
        </w:tc>
        <w:tc>
          <w:tcPr>
            <w:tcW w:w="100" w:type="dxa"/>
            <w:vAlign w:val="bottom"/>
            <w:tcBorders>
              <w:bottom w:val="single" w:sz="8" w:color="auto"/>
            </w:tcBorders>
          </w:tcPr>
          <w:p>
            <w:pPr>
              <w:spacing w:after="0"/>
              <w:rPr>
                <w:sz w:val="16"/>
                <w:szCs w:val="16"/>
                <w:color w:val="auto"/>
              </w:rPr>
            </w:pPr>
          </w:p>
        </w:tc>
      </w:tr>
      <w:tr>
        <w:trPr>
          <w:trHeight w:val="186"/>
        </w:trPr>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w:t>
            </w:r>
          </w:p>
        </w:tc>
        <w:tc>
          <w:tcPr>
            <w:tcW w:w="5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260" w:hanging="373"/>
        <w:spacing w:after="0"/>
        <w:tabs>
          <w:tab w:leader="none" w:pos="12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party-in-interest.</w:t>
      </w:r>
    </w:p>
    <w:p>
      <w:pPr>
        <w:spacing w:after="0" w:line="27" w:lineRule="exact"/>
        <w:rPr>
          <w:sz w:val="20"/>
          <w:szCs w:val="20"/>
          <w:color w:val="auto"/>
        </w:rPr>
      </w:pPr>
    </w:p>
    <w:p>
      <w:pPr>
        <w:ind w:left="1260" w:hanging="373"/>
        <w:spacing w:after="0"/>
        <w:tabs>
          <w:tab w:leader="none" w:pos="12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information is not required for participant-directed investments.</w:t>
      </w:r>
    </w:p>
    <w:p>
      <w:pPr>
        <w:spacing w:after="0" w:line="1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340"/>
          </w:cols>
          <w:pgMar w:left="320" w:top="434"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40" w:type="dxa"/>
            <w:vAlign w:val="bottom"/>
          </w:tcPr>
          <w:p>
            <w:pPr>
              <w:ind w:left="1860"/>
              <w:spacing w:after="0"/>
              <w:rPr>
                <w:sz w:val="20"/>
                <w:szCs w:val="20"/>
                <w:color w:val="auto"/>
              </w:rPr>
            </w:pPr>
            <w:r>
              <w:rPr>
                <w:rFonts w:ascii="Times New Roman" w:cs="Times New Roman" w:eastAsia="Times New Roman" w:hAnsi="Times New Roman"/>
                <w:sz w:val="15"/>
                <w:szCs w:val="15"/>
                <w:b w:val="1"/>
                <w:bCs w:val="1"/>
                <w:color w:val="auto"/>
              </w:rPr>
              <w:t>INDEX OF EXHIBITS</w:t>
            </w:r>
          </w:p>
        </w:tc>
      </w:tr>
      <w:tr>
        <w:trPr>
          <w:trHeight w:val="315"/>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49"/>
        </w:trPr>
        <w:tc>
          <w:tcPr>
            <w:tcW w:w="90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Number</w:t>
            </w:r>
          </w:p>
        </w:tc>
        <w:tc>
          <w:tcPr>
            <w:tcW w:w="536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Description of Exhibits</w:t>
            </w: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9"/>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460" w:type="dxa"/>
            <w:vAlign w:val="bottom"/>
          </w:tcPr>
          <w:p>
            <w:pPr>
              <w:spacing w:after="0"/>
              <w:rPr>
                <w:sz w:val="19"/>
                <w:szCs w:val="19"/>
                <w:color w:val="auto"/>
              </w:rPr>
            </w:pPr>
          </w:p>
        </w:tc>
        <w:tc>
          <w:tcPr>
            <w:tcW w:w="5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rPr>
              <w:t>Consent of BAKER TILLY US, LLP, Independent Registered Public Accounting Firm</w:t>
            </w:r>
          </w:p>
        </w:tc>
      </w:tr>
    </w:tbl>
    <w:p>
      <w:pPr>
        <w:spacing w:after="0"/>
        <w:rPr>
          <w:sz w:val="20"/>
          <w:szCs w:val="20"/>
          <w:color w:val="auto"/>
        </w:rPr>
        <w:sectPr>
          <w:pgSz w:w="11900" w:h="16838" w:orient="portrait"/>
          <w:cols w:equalWidth="0" w:num="1">
            <w:col w:w="9259"/>
          </w:cols>
          <w:pgMar w:left="1200" w:top="272" w:right="1440" w:bottom="1440" w:gutter="0" w:footer="0" w:header="0"/>
        </w:sect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SIGNATURES</w:t>
      </w:r>
    </w:p>
    <w:p>
      <w:pPr>
        <w:spacing w:after="0" w:line="199" w:lineRule="exact"/>
        <w:rPr>
          <w:sz w:val="20"/>
          <w:szCs w:val="20"/>
          <w:color w:val="auto"/>
        </w:rPr>
      </w:pPr>
    </w:p>
    <w:p>
      <w:pPr>
        <w:ind w:right="240" w:firstLine="379"/>
        <w:spacing w:after="0" w:line="302" w:lineRule="auto"/>
        <w:rPr>
          <w:sz w:val="20"/>
          <w:szCs w:val="20"/>
          <w:color w:val="auto"/>
        </w:rPr>
      </w:pPr>
      <w:r>
        <w:rPr>
          <w:rFonts w:ascii="Times New Roman" w:cs="Times New Roman" w:eastAsia="Times New Roman" w:hAnsi="Times New Roman"/>
          <w:sz w:val="15"/>
          <w:szCs w:val="15"/>
          <w:i w:val="1"/>
          <w:iCs w:val="1"/>
          <w:color w:val="auto"/>
        </w:rPr>
        <w:t>The Plan</w:t>
      </w:r>
      <w:r>
        <w:rPr>
          <w:rFonts w:ascii="Times New Roman" w:cs="Times New Roman" w:eastAsia="Times New Roman" w:hAnsi="Times New Roman"/>
          <w:sz w:val="15"/>
          <w:szCs w:val="15"/>
          <w:color w:val="auto"/>
        </w:rPr>
        <w:t>. Pursuant to the requirements of the Securities Exchange Act of 1934, the Plan Administrator has duly caused this annual report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6480" w:type="dxa"/>
            <w:vAlign w:val="bottom"/>
            <w:gridSpan w:val="2"/>
          </w:tcPr>
          <w:p>
            <w:pPr>
              <w:ind w:left="1760"/>
              <w:spacing w:after="0"/>
              <w:rPr>
                <w:sz w:val="20"/>
                <w:szCs w:val="20"/>
                <w:color w:val="auto"/>
              </w:rPr>
            </w:pPr>
            <w:r>
              <w:rPr>
                <w:rFonts w:ascii="Times New Roman" w:cs="Times New Roman" w:eastAsia="Times New Roman" w:hAnsi="Times New Roman"/>
                <w:sz w:val="15"/>
                <w:szCs w:val="15"/>
                <w:color w:val="auto"/>
              </w:rPr>
              <w:t>CoreCivic 401(k) Plan</w:t>
            </w:r>
          </w:p>
        </w:tc>
      </w:tr>
      <w:tr>
        <w:trPr>
          <w:trHeight w:val="372"/>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Date: June 26, 2026</w:t>
            </w:r>
          </w:p>
        </w:tc>
        <w:tc>
          <w:tcPr>
            <w:tcW w:w="232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Brian Hammonds</w:t>
            </w:r>
          </w:p>
        </w:tc>
      </w:tr>
      <w:tr>
        <w:trPr>
          <w:trHeight w:val="175"/>
        </w:trPr>
        <w:tc>
          <w:tcPr>
            <w:tcW w:w="3000" w:type="dxa"/>
            <w:vAlign w:val="bottom"/>
          </w:tcPr>
          <w:p>
            <w:pPr>
              <w:spacing w:after="0"/>
              <w:rPr>
                <w:sz w:val="15"/>
                <w:szCs w:val="15"/>
                <w:color w:val="auto"/>
              </w:rPr>
            </w:pPr>
          </w:p>
        </w:tc>
        <w:tc>
          <w:tcPr>
            <w:tcW w:w="232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Name:</w:t>
            </w:r>
          </w:p>
        </w:tc>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Brian Hammonds</w:t>
            </w:r>
          </w:p>
        </w:tc>
      </w:tr>
      <w:tr>
        <w:trPr>
          <w:trHeight w:val="186"/>
        </w:trPr>
        <w:tc>
          <w:tcPr>
            <w:tcW w:w="3000" w:type="dxa"/>
            <w:vAlign w:val="bottom"/>
          </w:tcPr>
          <w:p>
            <w:pPr>
              <w:spacing w:after="0"/>
              <w:rPr>
                <w:sz w:val="16"/>
                <w:szCs w:val="16"/>
                <w:color w:val="auto"/>
              </w:rPr>
            </w:pPr>
          </w:p>
        </w:tc>
        <w:tc>
          <w:tcPr>
            <w:tcW w:w="232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 Finance, CoreCivic of Tennessee, LLC, the Plan</w:t>
            </w:r>
          </w:p>
        </w:tc>
      </w:tr>
      <w:tr>
        <w:trPr>
          <w:trHeight w:val="186"/>
        </w:trPr>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Administrator, and of CoreCivic, Inc., the sole member of</w:t>
            </w:r>
          </w:p>
        </w:tc>
      </w:tr>
      <w:tr>
        <w:trPr>
          <w:trHeight w:val="200"/>
        </w:trPr>
        <w:tc>
          <w:tcPr>
            <w:tcW w:w="3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CoreCivic of Tennessee, LLC</w:t>
            </w:r>
          </w:p>
        </w:tc>
      </w:tr>
    </w:tbl>
    <w:p>
      <w:pPr>
        <w:sectPr>
          <w:pgSz w:w="11900" w:h="16838" w:orient="portrait"/>
          <w:cols w:equalWidth="0" w:num="1">
            <w:col w:w="9480"/>
          </w:cols>
          <w:pgMar w:left="1200" w:top="272" w:right="12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03"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 on Form S-8 (No. 333-69358) of CoreCivic of Tennessee, LLC, of our report dated June 26, 2026 relating to the financial statements and supplemental schedules of the CoreCivic 401(k) Plan (the “Plan”), appearing in this Annual Report on Form 11-K of the Plan for the year ended December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Baker Tilly US, LLP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Peachtree Corners,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sectPr>
      <w:pgSz w:w="11900" w:h="16838" w:orient="portrait"/>
      <w:cols w:equalWidth="0" w:num="1">
        <w:col w:w="9480"/>
      </w:cols>
      <w:pgMar w:left="12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2026-06-26T14:19:34Z</dcterms:created>
  <dcterms:modified xsi:type="dcterms:W3CDTF">2026-06-26T14:19:34Z</dcterms:modified>
</cp:coreProperties>
</file>