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Grande Anthony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CORECIVIC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5501 VIRGINIA WAY, SUITE 110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BRENTWOOD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37027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CoreCivic,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CXW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Chief Development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67"/>
        <w:gridCol w:w="915"/>
        <w:gridCol w:w="784"/>
        <w:gridCol w:w="607"/>
        <w:gridCol w:w="345"/>
        <w:gridCol w:w="921"/>
        <w:gridCol w:w="437"/>
        <w:gridCol w:w="984"/>
        <w:gridCol w:w="1139"/>
        <w:gridCol w:w="98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4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3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3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29,199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33.6124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164,782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executed in multiple trades at prices ranging from $33.50 to $34.00. The price reported above reflects the weighted average sale price. The reporting person hereby undertakes to provide upon request to the SEC staff, the issuer, or a security holder of the issuer full information regarding the number of shares and prices at which the transaction was effected.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Joseph Bachmann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10524" TargetMode="External"/><Relationship Id="rId5" Type="http://schemas.openxmlformats.org/officeDocument/2006/relationships/hyperlink" Target="http://www.sec.gov/cgi-bin/browse-edgar?action=getcompany&amp;CIK=000107098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626</Words>
  <Characters>3403</Characters>
  <CharactersWithSpaces>3961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