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CoreCivic,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001-16109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62-1763875</w:t>
      </w:r>
    </w:p>
    <w:p>
      <w:pPr>
        <w:spacing w:after="0" w:line="23"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ind w:left="1184"/>
        <w:spacing w:after="0"/>
        <w:rPr>
          <w:sz w:val="20"/>
          <w:szCs w:val="20"/>
          <w:color w:val="auto"/>
        </w:rPr>
      </w:pPr>
      <w:r>
        <w:rPr>
          <w:rFonts w:ascii="Times New Roman" w:cs="Times New Roman" w:eastAsia="Times New Roman" w:hAnsi="Times New Roman"/>
          <w:sz w:val="17"/>
          <w:szCs w:val="17"/>
          <w:b w:val="1"/>
          <w:bCs w:val="1"/>
          <w:color w:val="auto"/>
        </w:rPr>
        <w:t>5501 Virginia Way, Brentwood,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37027</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263-3000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CXW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87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jc w:val="both"/>
        <w:ind w:left="4" w:right="260"/>
        <w:spacing w:after="0" w:line="266" w:lineRule="auto"/>
        <w:rPr>
          <w:sz w:val="20"/>
          <w:szCs w:val="20"/>
          <w:color w:val="auto"/>
        </w:rPr>
      </w:pPr>
      <w:r>
        <w:rPr>
          <w:rFonts w:ascii="Times New Roman" w:cs="Times New Roman" w:eastAsia="Times New Roman" w:hAnsi="Times New Roman"/>
          <w:sz w:val="18"/>
          <w:szCs w:val="18"/>
          <w:color w:val="auto"/>
        </w:rPr>
        <w:t>On May 14, 2026, the Company held its 2026 annual meeting of stockholders (the “Annual Meeting”) via live webcast. At the Annual Meeting there were present in person or represented by proxy 89,552,695 shares of the Company’s common stock, which represented approximately 90.56% of the 98,886,782 shares of the Company’s common stock outstanding and entitled to vote at the Annual Meeting.</w:t>
      </w:r>
    </w:p>
    <w:p>
      <w:pPr>
        <w:spacing w:after="0" w:line="176" w:lineRule="exact"/>
        <w:rPr>
          <w:sz w:val="20"/>
          <w:szCs w:val="20"/>
          <w:color w:val="auto"/>
        </w:rPr>
      </w:pPr>
    </w:p>
    <w:p>
      <w:pPr>
        <w:ind w:left="4" w:right="20"/>
        <w:spacing w:after="0" w:line="276" w:lineRule="auto"/>
        <w:rPr>
          <w:sz w:val="20"/>
          <w:szCs w:val="20"/>
          <w:color w:val="auto"/>
        </w:rPr>
      </w:pPr>
      <w:r>
        <w:rPr>
          <w:rFonts w:ascii="Times New Roman" w:cs="Times New Roman" w:eastAsia="Times New Roman" w:hAnsi="Times New Roman"/>
          <w:sz w:val="17"/>
          <w:szCs w:val="17"/>
          <w:color w:val="auto"/>
        </w:rPr>
        <w:t>At the Annual Meeting, the Company’s stockholders (i) elected eleven (11) directors to the Company’s Board of Directors (the “Board”); (ii) ratified the appointment of Ernst &amp; Young LLP as the Company’s independent registered public accounting firm for the fiscal year ending December 31, 2026; and</w:t>
      </w:r>
    </w:p>
    <w:p>
      <w:pPr>
        <w:spacing w:after="0" w:line="1" w:lineRule="exact"/>
        <w:rPr>
          <w:sz w:val="20"/>
          <w:szCs w:val="20"/>
          <w:color w:val="auto"/>
        </w:rPr>
      </w:pPr>
    </w:p>
    <w:p>
      <w:pPr>
        <w:ind w:left="4" w:hanging="4"/>
        <w:spacing w:after="0" w:line="260" w:lineRule="auto"/>
        <w:tabs>
          <w:tab w:leader="none" w:pos="31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an advisory basis the compensation of the Company’s named executive officers. The results of each proposal submitted to a vote of the stockholders at the Annual Meeting are forth below.</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The eleven (11) nominees for director received the number of votes reported below:</w:t>
      </w:r>
    </w:p>
    <w:p>
      <w:pPr>
        <w:spacing w:after="0" w:line="23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64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Emkes</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80,679,022</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1,411,424</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7,431,950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Alexander R. Fischer</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81,505,070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584,767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30,908</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Catherine Hernandez-Blades</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81,215,329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853,518</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51,898</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Stacia A. Hylton</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81,115,013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949,839</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55,893</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Harley G. Lappin</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81,427,087</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662,010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31,648</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Thurgood Marshall, Jr.</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78,996,765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3,094,182</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29,798</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Devin I. Murphy</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81,217,840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872,201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30,704</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Dawn Smith</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81,591,780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493,460</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35,505</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D. Swindle</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81,449,243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635,250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36,252</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Stacey M. Tank</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81,586,779</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501,387</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32,579</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Nina A. Tran</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81,710,666</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372,490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37,589</w:t>
            </w: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7,431,950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Accordingly, Mr. Emkes, Mr. Fischer, Ms. Hernandez-Blades, Ms. Hylton, Mr. Lappin, Mr. Marshall, Mr. Murphy, Ms. Smith, Mr. Swindle, Ms. Tank and Ms. Tran were elected to serve until the Company’s 2027 Annual Meeting of Stockholders and until their respective successor is duly qualified and elected.</w:t>
      </w:r>
    </w:p>
    <w:p>
      <w:pPr>
        <w:spacing w:after="0" w:line="172"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Ratification of the appointment of Ernst &amp; Young LLP as the Company’s independent registered public accounting firm for the 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December 31, 2026:</w:t>
      </w:r>
    </w:p>
    <w:p>
      <w:pPr>
        <w:spacing w:after="0" w:line="179"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66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86,938,264</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2,574,779</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39,652</w:t>
            </w: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r>
        <w:rPr>
          <w:rFonts w:ascii="Times New Roman" w:cs="Times New Roman" w:eastAsia="Times New Roman" w:hAnsi="Times New Roman"/>
          <w:sz w:val="18"/>
          <w:szCs w:val="18"/>
          <w:color w:val="auto"/>
        </w:rPr>
        <w:t>: An advisory vote to approve the compensation of the Company’s named executive officers: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08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For</w:t>
            </w:r>
          </w:p>
        </w:tc>
        <w:tc>
          <w:tcPr>
            <w:tcW w:w="158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88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81,424,967</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593,667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102,111</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7,431,950</w:t>
            </w:r>
          </w:p>
        </w:tc>
      </w:tr>
      <w:tr>
        <w:trPr>
          <w:trHeight w:val="58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The following exhibits are filed as part of this Current Report on Form 8-K:</w:t>
      </w:r>
    </w:p>
    <w:p>
      <w:pPr>
        <w:spacing w:after="0" w:line="252" w:lineRule="exact"/>
        <w:rPr>
          <w:sz w:val="20"/>
          <w:szCs w:val="20"/>
          <w:color w:val="auto"/>
        </w:rPr>
      </w:pPr>
    </w:p>
    <w:p>
      <w:pPr>
        <w:ind w:left="4"/>
        <w:spacing w:after="0"/>
        <w:tabs>
          <w:tab w:leader="none" w:pos="6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984"/>
          </w:cols>
          <w:pgMar w:left="436" w:top="293" w:right="47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8"/>
          <w:szCs w:val="18"/>
          <w:color w:val="auto"/>
        </w:rPr>
        <w:t>CORECIVIC, INC.</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David M. Garfinkle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2026-05-18T05:13:29Z</dcterms:created>
  <dcterms:modified xsi:type="dcterms:W3CDTF">2026-05-18T05:13:29Z</dcterms:modified>
</cp:coreProperties>
</file>